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0701" w14:textId="249459AD" w:rsidR="00F855A0" w:rsidRPr="009316BC" w:rsidRDefault="00F855A0" w:rsidP="009316BC">
      <w:pPr>
        <w:spacing w:after="0"/>
        <w:jc w:val="center"/>
        <w:rPr>
          <w:b/>
          <w:bCs/>
          <w:sz w:val="36"/>
          <w:szCs w:val="36"/>
        </w:rPr>
      </w:pPr>
      <w:bookmarkStart w:id="0" w:name="_GoBack"/>
      <w:bookmarkEnd w:id="0"/>
      <w:r w:rsidRPr="009316BC">
        <w:rPr>
          <w:b/>
          <w:bCs/>
          <w:sz w:val="36"/>
          <w:szCs w:val="36"/>
        </w:rPr>
        <w:t>American Rescue Plan Act of 2021</w:t>
      </w:r>
      <w:r w:rsidR="00D16A86">
        <w:rPr>
          <w:b/>
          <w:bCs/>
          <w:sz w:val="36"/>
          <w:szCs w:val="36"/>
        </w:rPr>
        <w:t xml:space="preserve"> - Updated</w:t>
      </w:r>
    </w:p>
    <w:p w14:paraId="1DCF9A9A" w14:textId="77777777" w:rsidR="00F855A0" w:rsidRDefault="00B02E3A" w:rsidP="009316BC">
      <w:pPr>
        <w:spacing w:after="0"/>
        <w:jc w:val="center"/>
        <w:rPr>
          <w:b/>
          <w:bCs/>
        </w:rPr>
      </w:pPr>
      <w:hyperlink r:id="rId5" w:history="1">
        <w:r w:rsidR="00F855A0" w:rsidRPr="00F855A0">
          <w:rPr>
            <w:rStyle w:val="Hyperlink"/>
            <w:b/>
            <w:bCs/>
          </w:rPr>
          <w:t>(Full Text)</w:t>
        </w:r>
      </w:hyperlink>
    </w:p>
    <w:p w14:paraId="406AD106" w14:textId="77777777" w:rsidR="00F855A0" w:rsidRPr="009316BC" w:rsidRDefault="00B02E3A" w:rsidP="009316BC">
      <w:pPr>
        <w:jc w:val="center"/>
        <w:rPr>
          <w:b/>
          <w:bCs/>
        </w:rPr>
      </w:pPr>
      <w:hyperlink r:id="rId6" w:history="1">
        <w:r w:rsidR="00F855A0" w:rsidRPr="00F855A0">
          <w:rPr>
            <w:rStyle w:val="Hyperlink"/>
            <w:b/>
            <w:bCs/>
          </w:rPr>
          <w:t>(Title by Title Summary)</w:t>
        </w:r>
      </w:hyperlink>
    </w:p>
    <w:p w14:paraId="1ABE667E" w14:textId="59F16B54" w:rsidR="00164392" w:rsidRDefault="00164392"/>
    <w:p w14:paraId="1DAF5D5E" w14:textId="1B900C62" w:rsidR="00352BF4" w:rsidRPr="00352BF4" w:rsidRDefault="00352BF4">
      <w:pPr>
        <w:rPr>
          <w:u w:val="single"/>
        </w:rPr>
      </w:pPr>
      <w:r w:rsidRPr="00352BF4">
        <w:rPr>
          <w:u w:val="single"/>
        </w:rPr>
        <w:t>Summary</w:t>
      </w:r>
    </w:p>
    <w:p w14:paraId="5CE1AD2B" w14:textId="36FCC92C" w:rsidR="009467D0" w:rsidRDefault="00F855A0">
      <w:r>
        <w:t xml:space="preserve">The American Rescue Plan Act of 2021 is the latest Coronavirus relief package </w:t>
      </w:r>
      <w:r w:rsidR="00C61245">
        <w:t>adopted by congress and signed into law by President Biden on March 11, 2021.  The Act provides an estimated $1.9 trillion in mandatory funding, tax policies, and program changes aimed at mitigating the effects of the COVID-19 pandemic.</w:t>
      </w:r>
    </w:p>
    <w:p w14:paraId="58BD2A3A" w14:textId="77777777" w:rsidR="00A877B1" w:rsidRPr="00A877B1" w:rsidRDefault="00A877B1">
      <w:pPr>
        <w:rPr>
          <w:b/>
          <w:bCs/>
        </w:rPr>
      </w:pPr>
      <w:r w:rsidRPr="00A877B1">
        <w:rPr>
          <w:b/>
          <w:bCs/>
        </w:rPr>
        <w:t>Funding for which CACs may be eligible:</w:t>
      </w:r>
    </w:p>
    <w:p w14:paraId="6C09EA94" w14:textId="77777777" w:rsidR="00D553C1" w:rsidRDefault="00C61245" w:rsidP="003A0004">
      <w:pPr>
        <w:pStyle w:val="ListParagraph"/>
        <w:numPr>
          <w:ilvl w:val="0"/>
          <w:numId w:val="1"/>
        </w:numPr>
      </w:pPr>
      <w:r w:rsidRPr="003A0004">
        <w:rPr>
          <w:b/>
          <w:bCs/>
        </w:rPr>
        <w:t>$350 billion</w:t>
      </w:r>
      <w:r>
        <w:t xml:space="preserve"> i</w:t>
      </w:r>
      <w:r w:rsidR="003A0004">
        <w:t>n direct aid is</w:t>
      </w:r>
      <w:r>
        <w:t xml:space="preserve"> included for states, counties, cities, and tribal governments</w:t>
      </w:r>
      <w:r w:rsidR="003A0004">
        <w:t>.  These funds may be used to replenish lost revenue, cover increased expenditures, and mitigate economic hardships.</w:t>
      </w:r>
      <w:r w:rsidR="00FC0055">
        <w:t xml:space="preserve">  </w:t>
      </w:r>
      <w:r w:rsidR="00FC0055" w:rsidRPr="00FC0055">
        <w:rPr>
          <w:i/>
        </w:rPr>
        <w:t>(May cover costs incurred by December 31</w:t>
      </w:r>
      <w:r w:rsidR="00FC0055" w:rsidRPr="00FC0055">
        <w:rPr>
          <w:i/>
          <w:vertAlign w:val="superscript"/>
        </w:rPr>
        <w:t>st</w:t>
      </w:r>
      <w:r w:rsidR="00FC0055" w:rsidRPr="00FC0055">
        <w:rPr>
          <w:i/>
        </w:rPr>
        <w:t>, 2024.)</w:t>
      </w:r>
      <w:r w:rsidR="00064195">
        <w:rPr>
          <w:i/>
        </w:rPr>
        <w:t xml:space="preserve">  </w:t>
      </w:r>
      <w:r w:rsidR="00064195">
        <w:t xml:space="preserve"> </w:t>
      </w:r>
    </w:p>
    <w:p w14:paraId="5379251A" w14:textId="77777777" w:rsidR="003A0004" w:rsidRDefault="003A0004" w:rsidP="003A0004">
      <w:pPr>
        <w:pStyle w:val="ListParagraph"/>
        <w:numPr>
          <w:ilvl w:val="1"/>
          <w:numId w:val="1"/>
        </w:numPr>
      </w:pPr>
      <w:r>
        <w:rPr>
          <w:b/>
          <w:bCs/>
        </w:rPr>
        <w:t>$195.3 billion</w:t>
      </w:r>
      <w:r>
        <w:t xml:space="preserve"> to states</w:t>
      </w:r>
      <w:r w:rsidR="00A877B1">
        <w:t xml:space="preserve"> </w:t>
      </w:r>
      <w:r w:rsidR="00A877B1">
        <w:rPr>
          <w:i/>
          <w:iCs/>
        </w:rPr>
        <w:t>(</w:t>
      </w:r>
      <w:r w:rsidR="00F5530D">
        <w:rPr>
          <w:i/>
          <w:iCs/>
        </w:rPr>
        <w:t xml:space="preserve">May be subject to legislative appropriation or executive discretion.  Chapters should explore circumstances </w:t>
      </w:r>
      <w:r w:rsidR="00064195">
        <w:rPr>
          <w:i/>
          <w:iCs/>
        </w:rPr>
        <w:t xml:space="preserve">that </w:t>
      </w:r>
      <w:r w:rsidR="00F5530D">
        <w:rPr>
          <w:i/>
          <w:iCs/>
        </w:rPr>
        <w:t>may be unique to their state.)</w:t>
      </w:r>
    </w:p>
    <w:p w14:paraId="699141AA" w14:textId="77777777" w:rsidR="000763DD" w:rsidRDefault="000763DD" w:rsidP="000763DD">
      <w:pPr>
        <w:pStyle w:val="ListParagraph"/>
        <w:numPr>
          <w:ilvl w:val="2"/>
          <w:numId w:val="1"/>
        </w:numPr>
      </w:pPr>
      <w:r>
        <w:rPr>
          <w:b/>
          <w:bCs/>
        </w:rPr>
        <w:t>$500 million</w:t>
      </w:r>
      <w:r>
        <w:t xml:space="preserve"> base amount to each state and DC</w:t>
      </w:r>
    </w:p>
    <w:p w14:paraId="04911431" w14:textId="77777777" w:rsidR="000763DD" w:rsidRPr="009316BC" w:rsidRDefault="009316BC" w:rsidP="009316BC">
      <w:pPr>
        <w:pStyle w:val="ListParagraph"/>
        <w:numPr>
          <w:ilvl w:val="2"/>
          <w:numId w:val="1"/>
        </w:numPr>
        <w:rPr>
          <w:rFonts w:ascii="inherit" w:eastAsia="Times New Roman" w:hAnsi="inherit" w:cs="Arial"/>
          <w:color w:val="333333"/>
          <w:sz w:val="23"/>
          <w:szCs w:val="23"/>
        </w:rPr>
      </w:pPr>
      <w:r>
        <w:rPr>
          <w:b/>
          <w:bCs/>
        </w:rPr>
        <w:t>$169 billion</w:t>
      </w:r>
      <w:r>
        <w:t xml:space="preserve"> allocated based on states’ share of unemployed workers between Oct. and Dec. 2020.</w:t>
      </w:r>
    </w:p>
    <w:p w14:paraId="4CC051D3" w14:textId="77777777" w:rsidR="003A0004" w:rsidRDefault="003A0004" w:rsidP="003A0004">
      <w:pPr>
        <w:pStyle w:val="ListParagraph"/>
        <w:numPr>
          <w:ilvl w:val="1"/>
          <w:numId w:val="1"/>
        </w:numPr>
      </w:pPr>
      <w:r>
        <w:rPr>
          <w:b/>
          <w:bCs/>
        </w:rPr>
        <w:t>$120.2 billion</w:t>
      </w:r>
      <w:r>
        <w:t xml:space="preserve"> to local governments</w:t>
      </w:r>
      <w:r w:rsidR="00542267">
        <w:t xml:space="preserve"> </w:t>
      </w:r>
    </w:p>
    <w:p w14:paraId="090FE412" w14:textId="77777777" w:rsidR="003A0004" w:rsidRDefault="000763DD" w:rsidP="003A0004">
      <w:pPr>
        <w:pStyle w:val="ListParagraph"/>
        <w:numPr>
          <w:ilvl w:val="2"/>
          <w:numId w:val="1"/>
        </w:numPr>
      </w:pPr>
      <w:r>
        <w:rPr>
          <w:b/>
          <w:bCs/>
        </w:rPr>
        <w:t xml:space="preserve">$65.1 billion </w:t>
      </w:r>
      <w:r>
        <w:t>to counties</w:t>
      </w:r>
      <w:r w:rsidR="00825223">
        <w:t xml:space="preserve"> </w:t>
      </w:r>
      <w:hyperlink r:id="rId7" w:anchor="table" w:history="1">
        <w:r w:rsidR="00825223" w:rsidRPr="00825223">
          <w:rPr>
            <w:rStyle w:val="Hyperlink"/>
          </w:rPr>
          <w:t>(Funds by County)</w:t>
        </w:r>
      </w:hyperlink>
    </w:p>
    <w:p w14:paraId="41AD46E7" w14:textId="77777777" w:rsidR="000763DD" w:rsidRDefault="000763DD" w:rsidP="003A0004">
      <w:pPr>
        <w:pStyle w:val="ListParagraph"/>
        <w:numPr>
          <w:ilvl w:val="2"/>
          <w:numId w:val="1"/>
        </w:numPr>
      </w:pPr>
      <w:r>
        <w:rPr>
          <w:b/>
          <w:bCs/>
        </w:rPr>
        <w:t>$45.6 billion</w:t>
      </w:r>
      <w:r>
        <w:t xml:space="preserve"> to metro cities (over 50,000 people)</w:t>
      </w:r>
      <w:r w:rsidR="00825223">
        <w:t xml:space="preserve"> </w:t>
      </w:r>
      <w:hyperlink r:id="rId8" w:history="1">
        <w:r w:rsidR="00825223" w:rsidRPr="00542267">
          <w:rPr>
            <w:rStyle w:val="Hyperlink"/>
          </w:rPr>
          <w:t>(Funds by Municipality)</w:t>
        </w:r>
      </w:hyperlink>
    </w:p>
    <w:p w14:paraId="2F85E6E2" w14:textId="77777777" w:rsidR="000763DD" w:rsidRDefault="000763DD" w:rsidP="003A0004">
      <w:pPr>
        <w:pStyle w:val="ListParagraph"/>
        <w:numPr>
          <w:ilvl w:val="2"/>
          <w:numId w:val="1"/>
        </w:numPr>
      </w:pPr>
      <w:r>
        <w:rPr>
          <w:b/>
          <w:bCs/>
        </w:rPr>
        <w:t>$19.5 billion</w:t>
      </w:r>
      <w:r>
        <w:t xml:space="preserve"> to towns (less than 50,000 people)</w:t>
      </w:r>
    </w:p>
    <w:p w14:paraId="3EF73335" w14:textId="77777777" w:rsidR="000763DD" w:rsidRPr="00064195" w:rsidRDefault="000763DD" w:rsidP="00FC0055">
      <w:pPr>
        <w:pStyle w:val="ListParagraph"/>
        <w:numPr>
          <w:ilvl w:val="2"/>
          <w:numId w:val="1"/>
        </w:numPr>
        <w:spacing w:before="240"/>
      </w:pPr>
      <w:r>
        <w:rPr>
          <w:b/>
          <w:bCs/>
        </w:rPr>
        <w:t>$20 billion</w:t>
      </w:r>
      <w:r>
        <w:t xml:space="preserve"> to tribal governments</w:t>
      </w:r>
      <w:r>
        <w:rPr>
          <w:b/>
          <w:bCs/>
        </w:rPr>
        <w:t xml:space="preserve"> </w:t>
      </w:r>
      <w:r w:rsidR="00FB4C46" w:rsidRPr="00FB4C46">
        <w:rPr>
          <w:bCs/>
        </w:rPr>
        <w:t>(allocations to be determined)</w:t>
      </w:r>
    </w:p>
    <w:p w14:paraId="2C74608E" w14:textId="77777777" w:rsidR="00064195" w:rsidRPr="00D553C1" w:rsidRDefault="00866813" w:rsidP="00866813">
      <w:pPr>
        <w:pStyle w:val="ListParagraph"/>
        <w:numPr>
          <w:ilvl w:val="1"/>
          <w:numId w:val="1"/>
        </w:numPr>
        <w:spacing w:before="240"/>
      </w:pPr>
      <w:r>
        <w:rPr>
          <w:bCs/>
        </w:rPr>
        <w:t>State and local government funding may be used for a wide range of items tied to the public health emergency from COVID-19 or its negative economic impacts (</w:t>
      </w:r>
      <w:r>
        <w:t>including assistance to households, small businesses, nonprofits, and impacted industries)</w:t>
      </w:r>
      <w:r>
        <w:rPr>
          <w:bCs/>
        </w:rPr>
        <w:t>; premium pay for essential workers; revenue loses tied to COVID-19; and necessary investments in water, sewer, or broadband infrastructure.</w:t>
      </w:r>
    </w:p>
    <w:p w14:paraId="07A8FB6F" w14:textId="77777777" w:rsidR="00D553C1" w:rsidRPr="00A877B1" w:rsidRDefault="00D553C1" w:rsidP="00D553C1">
      <w:pPr>
        <w:pStyle w:val="ListParagraph"/>
        <w:numPr>
          <w:ilvl w:val="1"/>
          <w:numId w:val="1"/>
        </w:numPr>
      </w:pPr>
      <w:r>
        <w:t>It will be up to each individual state and locality to determine how the funds are received, by whom they are administered, and to whom they are distributed.  Chapters and CACs should consult with state and local leaders for specific information on administering entities and processes.</w:t>
      </w:r>
    </w:p>
    <w:p w14:paraId="78C28E9D" w14:textId="77777777" w:rsidR="00FC0055" w:rsidRPr="00FC0055" w:rsidRDefault="00FC0055" w:rsidP="00FC0055">
      <w:pPr>
        <w:pStyle w:val="ListParagraph"/>
      </w:pPr>
    </w:p>
    <w:p w14:paraId="5AE60D34" w14:textId="77777777" w:rsidR="00A877B1" w:rsidRDefault="00A877B1" w:rsidP="00A877B1">
      <w:pPr>
        <w:pStyle w:val="ListParagraph"/>
        <w:numPr>
          <w:ilvl w:val="0"/>
          <w:numId w:val="1"/>
        </w:numPr>
      </w:pPr>
      <w:r>
        <w:rPr>
          <w:b/>
          <w:bCs/>
        </w:rPr>
        <w:t>$350 million</w:t>
      </w:r>
      <w:r>
        <w:t xml:space="preserve"> for CAPTA</w:t>
      </w:r>
      <w:r w:rsidR="00FC0055">
        <w:t>, in addition to regular appropriations.  (</w:t>
      </w:r>
      <w:r w:rsidR="00FC0055">
        <w:rPr>
          <w:i/>
        </w:rPr>
        <w:t>Funds will carry forward until October 1, 2023</w:t>
      </w:r>
      <w:r w:rsidR="00064195">
        <w:rPr>
          <w:i/>
        </w:rPr>
        <w:t xml:space="preserve"> and the portion of new funding will not be subject to match requirements.</w:t>
      </w:r>
      <w:r w:rsidR="00FC0055">
        <w:rPr>
          <w:i/>
        </w:rPr>
        <w:t>)</w:t>
      </w:r>
    </w:p>
    <w:p w14:paraId="46955A95" w14:textId="77777777" w:rsidR="00FB4C46" w:rsidRPr="00FB4C46" w:rsidRDefault="00FB4C46" w:rsidP="00A877B1">
      <w:pPr>
        <w:pStyle w:val="ListParagraph"/>
        <w:numPr>
          <w:ilvl w:val="1"/>
          <w:numId w:val="1"/>
        </w:numPr>
        <w:rPr>
          <w:i/>
          <w:iCs/>
        </w:rPr>
      </w:pPr>
      <w:r>
        <w:rPr>
          <w:b/>
          <w:bCs/>
        </w:rPr>
        <w:t>$100 million</w:t>
      </w:r>
      <w:r>
        <w:t xml:space="preserve"> </w:t>
      </w:r>
      <w:r w:rsidRPr="00FB4C46">
        <w:rPr>
          <w:b/>
        </w:rPr>
        <w:t>Title I</w:t>
      </w:r>
      <w:r>
        <w:t xml:space="preserve"> for states’ response to child abuse including investigations and child welfare agencies</w:t>
      </w:r>
    </w:p>
    <w:p w14:paraId="6AC0E609" w14:textId="77777777" w:rsidR="00FB4C46" w:rsidRDefault="00A877B1" w:rsidP="00A877B1">
      <w:pPr>
        <w:pStyle w:val="ListParagraph"/>
        <w:numPr>
          <w:ilvl w:val="1"/>
          <w:numId w:val="1"/>
        </w:numPr>
        <w:rPr>
          <w:i/>
          <w:iCs/>
        </w:rPr>
      </w:pPr>
      <w:r w:rsidRPr="00275CC0">
        <w:rPr>
          <w:b/>
          <w:bCs/>
        </w:rPr>
        <w:t>$250 million</w:t>
      </w:r>
      <w:r w:rsidR="00275CC0">
        <w:rPr>
          <w:b/>
          <w:bCs/>
        </w:rPr>
        <w:t xml:space="preserve"> </w:t>
      </w:r>
      <w:r w:rsidR="00FC0055">
        <w:rPr>
          <w:b/>
          <w:bCs/>
        </w:rPr>
        <w:t xml:space="preserve">Title II </w:t>
      </w:r>
      <w:r w:rsidR="00275CC0">
        <w:t xml:space="preserve">for </w:t>
      </w:r>
      <w:r w:rsidR="00FC0055">
        <w:t xml:space="preserve">community based </w:t>
      </w:r>
      <w:r w:rsidR="00275CC0">
        <w:t>child abuse prevention</w:t>
      </w:r>
      <w:r w:rsidR="00FB4C46">
        <w:t xml:space="preserve"> (CBCAP)</w:t>
      </w:r>
      <w:r w:rsidR="00275CC0">
        <w:t xml:space="preserve">.  </w:t>
      </w:r>
      <w:r w:rsidR="00275CC0" w:rsidRPr="00275CC0">
        <w:rPr>
          <w:i/>
          <w:iCs/>
        </w:rPr>
        <w:t>(</w:t>
      </w:r>
      <w:r w:rsidR="00064195">
        <w:rPr>
          <w:i/>
          <w:iCs/>
        </w:rPr>
        <w:t>Distribution will be</w:t>
      </w:r>
      <w:r w:rsidRPr="00275CC0">
        <w:rPr>
          <w:i/>
          <w:iCs/>
        </w:rPr>
        <w:t xml:space="preserve"> based on states’ populations of children under the age of 18.</w:t>
      </w:r>
      <w:r w:rsidR="00275CC0">
        <w:rPr>
          <w:i/>
          <w:iCs/>
        </w:rPr>
        <w:t>)</w:t>
      </w:r>
      <w:r w:rsidR="00866813">
        <w:rPr>
          <w:bCs/>
        </w:rPr>
        <w:t xml:space="preserve"> </w:t>
      </w:r>
      <w:r w:rsidR="00FB4C46">
        <w:rPr>
          <w:bCs/>
        </w:rPr>
        <w:t>Funds flow through a governor’s designated agency/entity and may be spent flexibly to encourage community-based prevention, collaboration with CPS and other agencies, workforce development, technology enhancements, training, and promoting access to services.</w:t>
      </w:r>
    </w:p>
    <w:p w14:paraId="0545D44B" w14:textId="77777777" w:rsidR="00FC0055" w:rsidRPr="00866813" w:rsidRDefault="00866813">
      <w:pPr>
        <w:rPr>
          <w:rFonts w:ascii="Helvetica Neue" w:hAnsi="Helvetica Neue"/>
          <w:color w:val="222222"/>
          <w:shd w:val="clear" w:color="auto" w:fill="F3F4F5"/>
        </w:rPr>
      </w:pPr>
      <w:r w:rsidRPr="00866813">
        <w:rPr>
          <w:rStyle w:val="Strong"/>
          <w:rFonts w:ascii="Calibri" w:hAnsi="Calibri"/>
          <w:color w:val="393B3E"/>
        </w:rPr>
        <w:t xml:space="preserve">Program guidance for the Coronavirus State and Local Fiscal Recovery Fund will be released in the coming weeks. Please continue to check this </w:t>
      </w:r>
      <w:hyperlink r:id="rId9" w:history="1">
        <w:r w:rsidRPr="00866813">
          <w:rPr>
            <w:rStyle w:val="Hyperlink"/>
            <w:rFonts w:ascii="Calibri" w:hAnsi="Calibri"/>
          </w:rPr>
          <w:t>website</w:t>
        </w:r>
      </w:hyperlink>
      <w:r w:rsidRPr="00866813">
        <w:rPr>
          <w:rStyle w:val="Strong"/>
          <w:rFonts w:ascii="Calibri" w:hAnsi="Calibri"/>
          <w:color w:val="393B3E"/>
        </w:rPr>
        <w:t xml:space="preserve"> for further updates.</w:t>
      </w:r>
    </w:p>
    <w:p w14:paraId="6E92DE4F" w14:textId="77777777" w:rsidR="00D16A86" w:rsidRDefault="00D16A86" w:rsidP="00D16A86">
      <w:r>
        <w:t xml:space="preserve"> </w:t>
      </w:r>
    </w:p>
    <w:p w14:paraId="66A3376E" w14:textId="77777777" w:rsidR="00164392" w:rsidRDefault="00164392" w:rsidP="00D16A86">
      <w:pPr>
        <w:rPr>
          <w:rFonts w:eastAsia="Times New Roman" w:cs="Times New Roman"/>
          <w:b/>
          <w:bCs/>
          <w:sz w:val="24"/>
          <w:szCs w:val="24"/>
          <w:u w:val="single"/>
        </w:rPr>
      </w:pPr>
    </w:p>
    <w:p w14:paraId="72C1A5A3" w14:textId="77777777" w:rsidR="00164392" w:rsidRDefault="00164392" w:rsidP="00D16A86">
      <w:pPr>
        <w:rPr>
          <w:rFonts w:eastAsia="Times New Roman" w:cs="Times New Roman"/>
          <w:b/>
          <w:bCs/>
          <w:sz w:val="24"/>
          <w:szCs w:val="24"/>
          <w:u w:val="single"/>
        </w:rPr>
      </w:pPr>
    </w:p>
    <w:p w14:paraId="5F78BBDE" w14:textId="2F8330BF" w:rsidR="000E6A8C" w:rsidRPr="00D16A86" w:rsidRDefault="00D16A86" w:rsidP="00D16A86">
      <w:pPr>
        <w:rPr>
          <w:rFonts w:eastAsia="Times New Roman" w:cs="Times New Roman"/>
          <w:b/>
          <w:bCs/>
          <w:sz w:val="24"/>
          <w:szCs w:val="24"/>
          <w:u w:val="single"/>
        </w:rPr>
      </w:pPr>
      <w:r w:rsidRPr="00D16A86">
        <w:rPr>
          <w:rFonts w:eastAsia="Times New Roman" w:cs="Times New Roman"/>
          <w:b/>
          <w:bCs/>
          <w:sz w:val="24"/>
          <w:szCs w:val="24"/>
          <w:u w:val="single"/>
        </w:rPr>
        <w:lastRenderedPageBreak/>
        <w:t>Allowable Uses o</w:t>
      </w:r>
      <w:r>
        <w:rPr>
          <w:rFonts w:eastAsia="Times New Roman" w:cs="Times New Roman"/>
          <w:b/>
          <w:bCs/>
          <w:sz w:val="24"/>
          <w:szCs w:val="24"/>
          <w:u w:val="single"/>
        </w:rPr>
        <w:t xml:space="preserve">f </w:t>
      </w:r>
      <w:r w:rsidRPr="00D16A86">
        <w:rPr>
          <w:rFonts w:eastAsia="Times New Roman" w:cs="Times New Roman"/>
          <w:b/>
          <w:bCs/>
          <w:sz w:val="24"/>
          <w:szCs w:val="24"/>
          <w:u w:val="single"/>
        </w:rPr>
        <w:t>ARPA</w:t>
      </w:r>
      <w:r>
        <w:rPr>
          <w:rFonts w:eastAsia="Times New Roman" w:cs="Times New Roman"/>
          <w:b/>
          <w:bCs/>
          <w:sz w:val="24"/>
          <w:szCs w:val="24"/>
          <w:u w:val="single"/>
        </w:rPr>
        <w:t xml:space="preserve"> </w:t>
      </w:r>
      <w:r w:rsidRPr="00D16A86">
        <w:rPr>
          <w:rFonts w:eastAsia="Times New Roman" w:cs="Times New Roman"/>
          <w:b/>
          <w:bCs/>
          <w:sz w:val="24"/>
          <w:szCs w:val="24"/>
          <w:u w:val="single"/>
        </w:rPr>
        <w:t xml:space="preserve">– and Addressing </w:t>
      </w:r>
      <w:r w:rsidR="000E6A8C" w:rsidRPr="00D16A86">
        <w:rPr>
          <w:rFonts w:eastAsia="Times New Roman" w:cs="Times New Roman"/>
          <w:b/>
          <w:bCs/>
          <w:sz w:val="24"/>
          <w:szCs w:val="24"/>
          <w:u w:val="single"/>
        </w:rPr>
        <w:t>Current CAC/Chapter Unmet Needs</w:t>
      </w:r>
    </w:p>
    <w:p w14:paraId="01D0F6E2" w14:textId="16798B2E" w:rsidR="00D16A86" w:rsidRDefault="00D16A86" w:rsidP="00D16A86">
      <w:pPr>
        <w:pStyle w:val="ListParagraph"/>
        <w:spacing w:after="0" w:line="256" w:lineRule="auto"/>
        <w:ind w:left="0"/>
        <w:rPr>
          <w:b/>
        </w:rPr>
      </w:pPr>
      <w:r w:rsidRPr="00D16A86">
        <w:rPr>
          <w:b/>
        </w:rPr>
        <w:t>ARPA – Coronavirus State and Local Fiscal Recovery Funds</w:t>
      </w:r>
    </w:p>
    <w:p w14:paraId="324FF4A2" w14:textId="25248375" w:rsidR="00164392" w:rsidRPr="00164392" w:rsidRDefault="00164392" w:rsidP="00164392">
      <w:pPr>
        <w:pStyle w:val="ListParagraph"/>
        <w:numPr>
          <w:ilvl w:val="0"/>
          <w:numId w:val="7"/>
        </w:numPr>
        <w:spacing w:after="0" w:line="256" w:lineRule="auto"/>
        <w:rPr>
          <w:bCs/>
        </w:rPr>
      </w:pPr>
      <w:r w:rsidRPr="00164392">
        <w:rPr>
          <w:bCs/>
        </w:rPr>
        <w:t>Support public health costs</w:t>
      </w:r>
    </w:p>
    <w:p w14:paraId="04D3F573" w14:textId="6DE20C37" w:rsidR="00164392" w:rsidRPr="00164392" w:rsidRDefault="00164392" w:rsidP="00164392">
      <w:pPr>
        <w:pStyle w:val="ListParagraph"/>
        <w:numPr>
          <w:ilvl w:val="0"/>
          <w:numId w:val="7"/>
        </w:numPr>
        <w:spacing w:after="0" w:line="256" w:lineRule="auto"/>
        <w:rPr>
          <w:bCs/>
        </w:rPr>
      </w:pPr>
      <w:r w:rsidRPr="00164392">
        <w:rPr>
          <w:bCs/>
        </w:rPr>
        <w:t>Replace lost revenue</w:t>
      </w:r>
    </w:p>
    <w:p w14:paraId="13FB8F19" w14:textId="210FC9C3" w:rsidR="00164392" w:rsidRPr="00164392" w:rsidRDefault="00164392" w:rsidP="00164392">
      <w:pPr>
        <w:pStyle w:val="ListParagraph"/>
        <w:numPr>
          <w:ilvl w:val="0"/>
          <w:numId w:val="7"/>
        </w:numPr>
        <w:spacing w:after="0" w:line="256" w:lineRule="auto"/>
        <w:rPr>
          <w:bCs/>
        </w:rPr>
      </w:pPr>
      <w:r w:rsidRPr="00164392">
        <w:rPr>
          <w:bCs/>
        </w:rPr>
        <w:t>Provide support</w:t>
      </w:r>
      <w:r>
        <w:rPr>
          <w:bCs/>
        </w:rPr>
        <w:t xml:space="preserve"> to </w:t>
      </w:r>
      <w:r w:rsidRPr="00164392">
        <w:rPr>
          <w:bCs/>
        </w:rPr>
        <w:t>serv</w:t>
      </w:r>
      <w:r>
        <w:rPr>
          <w:bCs/>
        </w:rPr>
        <w:t>e</w:t>
      </w:r>
      <w:r w:rsidRPr="00164392">
        <w:rPr>
          <w:bCs/>
        </w:rPr>
        <w:t xml:space="preserve"> the hardest hit communities and families</w:t>
      </w:r>
    </w:p>
    <w:p w14:paraId="4C9AE40E" w14:textId="56A54615" w:rsidR="00164392" w:rsidRPr="00164392" w:rsidRDefault="00164392" w:rsidP="00164392">
      <w:pPr>
        <w:pStyle w:val="ListParagraph"/>
        <w:numPr>
          <w:ilvl w:val="0"/>
          <w:numId w:val="7"/>
        </w:numPr>
        <w:spacing w:after="0" w:line="256" w:lineRule="auto"/>
        <w:rPr>
          <w:bCs/>
        </w:rPr>
      </w:pPr>
      <w:r w:rsidRPr="00164392">
        <w:rPr>
          <w:bCs/>
        </w:rPr>
        <w:t>Provide premium pay for essential workers, including public health and safety staff, as well as social service and human services staff</w:t>
      </w:r>
    </w:p>
    <w:p w14:paraId="1D7E8539" w14:textId="43FFBD80" w:rsidR="00164392" w:rsidRPr="00164392" w:rsidRDefault="00164392" w:rsidP="00164392">
      <w:pPr>
        <w:spacing w:after="0" w:line="256" w:lineRule="auto"/>
        <w:rPr>
          <w:bCs/>
        </w:rPr>
      </w:pPr>
    </w:p>
    <w:p w14:paraId="4515A31A" w14:textId="2B35F376" w:rsidR="00164392" w:rsidRDefault="00164392" w:rsidP="007D561C">
      <w:pPr>
        <w:spacing w:after="0" w:line="256" w:lineRule="auto"/>
        <w:ind w:firstLine="360"/>
        <w:rPr>
          <w:b/>
        </w:rPr>
      </w:pPr>
      <w:r>
        <w:rPr>
          <w:b/>
        </w:rPr>
        <w:t>State/Local governments can use funds for (among other items):</w:t>
      </w:r>
    </w:p>
    <w:p w14:paraId="4FC9CDAF" w14:textId="0B57A616" w:rsidR="00164392" w:rsidRPr="00164392" w:rsidRDefault="00164392" w:rsidP="007D561C">
      <w:pPr>
        <w:pStyle w:val="ListParagraph"/>
        <w:numPr>
          <w:ilvl w:val="0"/>
          <w:numId w:val="9"/>
        </w:numPr>
        <w:spacing w:after="0" w:line="256" w:lineRule="auto"/>
        <w:rPr>
          <w:bCs/>
        </w:rPr>
      </w:pPr>
      <w:r w:rsidRPr="00164392">
        <w:rPr>
          <w:bCs/>
        </w:rPr>
        <w:t>Mental health</w:t>
      </w:r>
    </w:p>
    <w:p w14:paraId="3C8B5F74" w14:textId="61E62C69" w:rsidR="00164392" w:rsidRPr="00164392" w:rsidRDefault="00164392" w:rsidP="007D561C">
      <w:pPr>
        <w:pStyle w:val="ListParagraph"/>
        <w:numPr>
          <w:ilvl w:val="0"/>
          <w:numId w:val="9"/>
        </w:numPr>
        <w:spacing w:after="0" w:line="256" w:lineRule="auto"/>
        <w:rPr>
          <w:bCs/>
        </w:rPr>
      </w:pPr>
      <w:r w:rsidRPr="00164392">
        <w:rPr>
          <w:bCs/>
        </w:rPr>
        <w:t>Crisis intervention</w:t>
      </w:r>
    </w:p>
    <w:p w14:paraId="5642A6F6" w14:textId="1097FAF3" w:rsidR="00164392" w:rsidRPr="00164392" w:rsidRDefault="00164392" w:rsidP="007D561C">
      <w:pPr>
        <w:pStyle w:val="ListParagraph"/>
        <w:numPr>
          <w:ilvl w:val="0"/>
          <w:numId w:val="9"/>
        </w:numPr>
        <w:spacing w:after="0" w:line="256" w:lineRule="auto"/>
        <w:rPr>
          <w:bCs/>
        </w:rPr>
      </w:pPr>
      <w:r w:rsidRPr="00164392">
        <w:rPr>
          <w:bCs/>
        </w:rPr>
        <w:t>Services/outreach to promote access to health/social services</w:t>
      </w:r>
    </w:p>
    <w:p w14:paraId="318305B5" w14:textId="25BB8427" w:rsidR="00164392" w:rsidRPr="00164392" w:rsidRDefault="00164392" w:rsidP="007D561C">
      <w:pPr>
        <w:pStyle w:val="ListParagraph"/>
        <w:numPr>
          <w:ilvl w:val="0"/>
          <w:numId w:val="9"/>
        </w:numPr>
        <w:spacing w:after="0" w:line="256" w:lineRule="auto"/>
        <w:rPr>
          <w:bCs/>
        </w:rPr>
      </w:pPr>
      <w:r w:rsidRPr="00164392">
        <w:rPr>
          <w:bCs/>
        </w:rPr>
        <w:t>Community violence intervention programs</w:t>
      </w:r>
    </w:p>
    <w:p w14:paraId="25C99719" w14:textId="34FE4581" w:rsidR="00164392" w:rsidRPr="00164392" w:rsidRDefault="00164392" w:rsidP="007D561C">
      <w:pPr>
        <w:pStyle w:val="ListParagraph"/>
        <w:numPr>
          <w:ilvl w:val="0"/>
          <w:numId w:val="9"/>
        </w:numPr>
        <w:spacing w:after="0" w:line="256" w:lineRule="auto"/>
        <w:rPr>
          <w:bCs/>
        </w:rPr>
      </w:pPr>
      <w:r w:rsidRPr="00164392">
        <w:rPr>
          <w:bCs/>
        </w:rPr>
        <w:t>Enhanced services for child-welfare involved families;</w:t>
      </w:r>
    </w:p>
    <w:p w14:paraId="19BD3391" w14:textId="50E7A4B7" w:rsidR="00164392" w:rsidRPr="00164392" w:rsidRDefault="00164392" w:rsidP="007D561C">
      <w:pPr>
        <w:pStyle w:val="ListParagraph"/>
        <w:numPr>
          <w:ilvl w:val="0"/>
          <w:numId w:val="9"/>
        </w:numPr>
        <w:spacing w:after="0" w:line="256" w:lineRule="auto"/>
        <w:rPr>
          <w:bCs/>
        </w:rPr>
      </w:pPr>
      <w:r w:rsidRPr="00164392">
        <w:rPr>
          <w:bCs/>
        </w:rPr>
        <w:t>Premium pay for essential workers</w:t>
      </w:r>
    </w:p>
    <w:p w14:paraId="61A6EAE0" w14:textId="569B3DC9" w:rsidR="00164392" w:rsidRPr="00164392" w:rsidRDefault="00164392" w:rsidP="007D561C">
      <w:pPr>
        <w:pStyle w:val="ListParagraph"/>
        <w:numPr>
          <w:ilvl w:val="0"/>
          <w:numId w:val="9"/>
        </w:numPr>
        <w:spacing w:after="0" w:line="256" w:lineRule="auto"/>
        <w:rPr>
          <w:bCs/>
        </w:rPr>
      </w:pPr>
      <w:r w:rsidRPr="00164392">
        <w:rPr>
          <w:bCs/>
        </w:rPr>
        <w:t>Revenue losses tied to COVID-19</w:t>
      </w:r>
    </w:p>
    <w:p w14:paraId="1C9E3D36" w14:textId="5D41AF83" w:rsidR="00164392" w:rsidRDefault="00164392" w:rsidP="00164392">
      <w:pPr>
        <w:spacing w:after="0" w:line="256" w:lineRule="auto"/>
        <w:rPr>
          <w:b/>
        </w:rPr>
      </w:pPr>
    </w:p>
    <w:p w14:paraId="3BF71420" w14:textId="73B9DA4D" w:rsidR="00164392" w:rsidRPr="00164392" w:rsidRDefault="00164392" w:rsidP="00164392">
      <w:pPr>
        <w:spacing w:after="0" w:line="256" w:lineRule="auto"/>
        <w:rPr>
          <w:bCs/>
        </w:rPr>
      </w:pPr>
      <w:r w:rsidRPr="00164392">
        <w:rPr>
          <w:bCs/>
        </w:rPr>
        <w:t>Each individual state/locality can decide how funds are received, distributed and administered. Chapters and CACs should consult with state and local leaders for specific information on administering entities/processes.</w:t>
      </w:r>
    </w:p>
    <w:p w14:paraId="3BF8B834" w14:textId="4FBF8306" w:rsidR="00164392" w:rsidRDefault="00164392" w:rsidP="00164392">
      <w:pPr>
        <w:spacing w:after="0" w:line="256" w:lineRule="auto"/>
        <w:rPr>
          <w:b/>
        </w:rPr>
      </w:pPr>
    </w:p>
    <w:p w14:paraId="011258BF" w14:textId="2561994A" w:rsidR="00164392" w:rsidRDefault="00164392" w:rsidP="00164392">
      <w:pPr>
        <w:spacing w:after="0" w:line="256" w:lineRule="auto"/>
        <w:rPr>
          <w:b/>
        </w:rPr>
      </w:pPr>
      <w:r>
        <w:rPr>
          <w:b/>
        </w:rPr>
        <w:t xml:space="preserve">Dollars </w:t>
      </w:r>
      <w:r w:rsidRPr="00164392">
        <w:rPr>
          <w:b/>
          <w:u w:val="single"/>
        </w:rPr>
        <w:t>CAN’T</w:t>
      </w:r>
      <w:r>
        <w:rPr>
          <w:b/>
        </w:rPr>
        <w:t xml:space="preserve"> be used to lower taxes or replenish pension and rainy day funds.</w:t>
      </w:r>
    </w:p>
    <w:p w14:paraId="2C427098" w14:textId="0BE6405A" w:rsidR="007D561C" w:rsidRDefault="007D561C" w:rsidP="00164392">
      <w:pPr>
        <w:spacing w:after="0" w:line="256" w:lineRule="auto"/>
        <w:rPr>
          <w:b/>
        </w:rPr>
      </w:pPr>
    </w:p>
    <w:p w14:paraId="42B3ABBD" w14:textId="47A9D788" w:rsidR="007D561C" w:rsidRDefault="00352BF4" w:rsidP="00164392">
      <w:pPr>
        <w:spacing w:after="0" w:line="256" w:lineRule="auto"/>
        <w:rPr>
          <w:b/>
        </w:rPr>
      </w:pPr>
      <w:r>
        <w:rPr>
          <w:b/>
          <w:u w:val="single"/>
        </w:rPr>
        <w:t xml:space="preserve">ARPA - </w:t>
      </w:r>
      <w:r w:rsidR="007D561C" w:rsidRPr="007D561C">
        <w:rPr>
          <w:b/>
          <w:u w:val="single"/>
        </w:rPr>
        <w:t>CAPTA Supplemental Funding</w:t>
      </w:r>
      <w:r w:rsidR="007D561C">
        <w:rPr>
          <w:b/>
        </w:rPr>
        <w:t xml:space="preserve"> – </w:t>
      </w:r>
    </w:p>
    <w:p w14:paraId="1B3F7AF7" w14:textId="6EFE38CC" w:rsidR="007D561C" w:rsidRPr="007D561C" w:rsidRDefault="007D561C" w:rsidP="00352BF4">
      <w:pPr>
        <w:spacing w:after="0" w:line="256" w:lineRule="auto"/>
        <w:ind w:firstLine="720"/>
        <w:rPr>
          <w:b/>
        </w:rPr>
      </w:pPr>
      <w:r w:rsidRPr="007D561C">
        <w:rPr>
          <w:b/>
        </w:rPr>
        <w:t>Title I Allowable Uses:</w:t>
      </w:r>
    </w:p>
    <w:p w14:paraId="77584FA0" w14:textId="1E32F91F" w:rsidR="00164392" w:rsidRDefault="007D561C" w:rsidP="007D561C">
      <w:pPr>
        <w:pStyle w:val="ListParagraph"/>
        <w:numPr>
          <w:ilvl w:val="0"/>
          <w:numId w:val="11"/>
        </w:numPr>
        <w:spacing w:after="0" w:line="256" w:lineRule="auto"/>
        <w:rPr>
          <w:bCs/>
        </w:rPr>
      </w:pPr>
      <w:r w:rsidRPr="007D561C">
        <w:rPr>
          <w:bCs/>
        </w:rPr>
        <w:t>Intake, assessment, screening, and investigation of reports of child abuse or neglect</w:t>
      </w:r>
    </w:p>
    <w:p w14:paraId="0CC1A5AB" w14:textId="77777777" w:rsidR="007D561C" w:rsidRPr="007D561C" w:rsidRDefault="007D561C" w:rsidP="007D561C">
      <w:pPr>
        <w:pStyle w:val="ListParagraph"/>
        <w:numPr>
          <w:ilvl w:val="0"/>
          <w:numId w:val="11"/>
        </w:numPr>
        <w:spacing w:after="0" w:line="256" w:lineRule="auto"/>
        <w:rPr>
          <w:bCs/>
        </w:rPr>
      </w:pPr>
      <w:r w:rsidRPr="007D561C">
        <w:rPr>
          <w:bCs/>
        </w:rPr>
        <w:t>Creating/improving an MDT and interagency report to enhance investigations</w:t>
      </w:r>
    </w:p>
    <w:p w14:paraId="7BFD3CA7" w14:textId="77777777" w:rsidR="007D561C" w:rsidRPr="007D561C" w:rsidRDefault="007D561C" w:rsidP="007D561C">
      <w:pPr>
        <w:pStyle w:val="ListParagraph"/>
        <w:numPr>
          <w:ilvl w:val="0"/>
          <w:numId w:val="11"/>
        </w:numPr>
        <w:spacing w:after="0" w:line="256" w:lineRule="auto"/>
        <w:rPr>
          <w:bCs/>
        </w:rPr>
      </w:pPr>
      <w:r w:rsidRPr="007D561C">
        <w:rPr>
          <w:bCs/>
        </w:rPr>
        <w:t>Case management</w:t>
      </w:r>
    </w:p>
    <w:p w14:paraId="3D0CC0F7" w14:textId="77777777" w:rsidR="007D561C" w:rsidRPr="007D561C" w:rsidRDefault="007D561C" w:rsidP="007D561C">
      <w:pPr>
        <w:pStyle w:val="ListParagraph"/>
        <w:numPr>
          <w:ilvl w:val="0"/>
          <w:numId w:val="11"/>
        </w:numPr>
        <w:spacing w:after="0" w:line="256" w:lineRule="auto"/>
        <w:rPr>
          <w:bCs/>
        </w:rPr>
      </w:pPr>
      <w:r w:rsidRPr="007D561C">
        <w:rPr>
          <w:bCs/>
        </w:rPr>
        <w:t>Technology to track report of child abuse and neglect</w:t>
      </w:r>
    </w:p>
    <w:p w14:paraId="248BE3B2" w14:textId="01B3B3BC" w:rsidR="007D561C" w:rsidRDefault="007D561C" w:rsidP="00352BF4">
      <w:pPr>
        <w:spacing w:after="0" w:line="256" w:lineRule="auto"/>
        <w:ind w:left="720"/>
        <w:rPr>
          <w:bCs/>
        </w:rPr>
      </w:pPr>
    </w:p>
    <w:p w14:paraId="6602EC2A" w14:textId="3510C348" w:rsidR="007D561C" w:rsidRDefault="007D561C" w:rsidP="00352BF4">
      <w:pPr>
        <w:spacing w:after="0" w:line="256" w:lineRule="auto"/>
        <w:ind w:firstLine="720"/>
        <w:rPr>
          <w:b/>
        </w:rPr>
      </w:pPr>
      <w:r w:rsidRPr="007D561C">
        <w:rPr>
          <w:b/>
        </w:rPr>
        <w:t>Title II Allowable Uses</w:t>
      </w:r>
      <w:r>
        <w:rPr>
          <w:b/>
        </w:rPr>
        <w:t>:</w:t>
      </w:r>
    </w:p>
    <w:p w14:paraId="5F206770" w14:textId="10B3B9F3" w:rsidR="007D561C" w:rsidRPr="00352BF4" w:rsidRDefault="007D561C" w:rsidP="007D561C">
      <w:pPr>
        <w:pStyle w:val="ListParagraph"/>
        <w:numPr>
          <w:ilvl w:val="0"/>
          <w:numId w:val="13"/>
        </w:numPr>
        <w:spacing w:after="0" w:line="256" w:lineRule="auto"/>
        <w:rPr>
          <w:bCs/>
        </w:rPr>
      </w:pPr>
      <w:r w:rsidRPr="00352BF4">
        <w:rPr>
          <w:bCs/>
        </w:rPr>
        <w:t xml:space="preserve">Developing, operating, expanding and enhancing community-based  and prevention focused programs and activities designed to strengthen and </w:t>
      </w:r>
      <w:r w:rsidR="00352BF4" w:rsidRPr="00352BF4">
        <w:rPr>
          <w:bCs/>
        </w:rPr>
        <w:t>support families to prevent child abuse and neglect</w:t>
      </w:r>
    </w:p>
    <w:p w14:paraId="5843AD96" w14:textId="03414BC8" w:rsidR="00352BF4" w:rsidRPr="00352BF4" w:rsidRDefault="00352BF4" w:rsidP="007D561C">
      <w:pPr>
        <w:pStyle w:val="ListParagraph"/>
        <w:numPr>
          <w:ilvl w:val="0"/>
          <w:numId w:val="13"/>
        </w:numPr>
        <w:spacing w:after="0" w:line="256" w:lineRule="auto"/>
        <w:rPr>
          <w:bCs/>
        </w:rPr>
      </w:pPr>
      <w:r w:rsidRPr="00352BF4">
        <w:rPr>
          <w:bCs/>
        </w:rPr>
        <w:t>Foster development of a continuum of preventive services for children and families, including unaccompanied homeless youth</w:t>
      </w:r>
    </w:p>
    <w:p w14:paraId="7B04F877" w14:textId="677F10C8" w:rsidR="00352BF4" w:rsidRPr="00352BF4" w:rsidRDefault="00352BF4" w:rsidP="007D561C">
      <w:pPr>
        <w:pStyle w:val="ListParagraph"/>
        <w:numPr>
          <w:ilvl w:val="0"/>
          <w:numId w:val="13"/>
        </w:numPr>
        <w:spacing w:after="0" w:line="256" w:lineRule="auto"/>
        <w:rPr>
          <w:bCs/>
        </w:rPr>
      </w:pPr>
      <w:r w:rsidRPr="00352BF4">
        <w:rPr>
          <w:bCs/>
        </w:rPr>
        <w:t>Maximizing funding through leveraging of f</w:t>
      </w:r>
      <w:r>
        <w:rPr>
          <w:bCs/>
        </w:rPr>
        <w:t>unds</w:t>
      </w:r>
      <w:r w:rsidRPr="00352BF4">
        <w:rPr>
          <w:bCs/>
        </w:rPr>
        <w:t xml:space="preserve"> for financing, planning, community mobilization, collaboration, assessment, information/referra</w:t>
      </w:r>
      <w:r>
        <w:rPr>
          <w:bCs/>
        </w:rPr>
        <w:t>l</w:t>
      </w:r>
      <w:r w:rsidRPr="00352BF4">
        <w:rPr>
          <w:bCs/>
        </w:rPr>
        <w:t>, training and t</w:t>
      </w:r>
      <w:r>
        <w:rPr>
          <w:bCs/>
        </w:rPr>
        <w:t>echnical assistance, information management, reporting (among other thigs, that is designed to strengthen and support families to prevent child abuse and neglect</w:t>
      </w:r>
    </w:p>
    <w:p w14:paraId="00B9E80D" w14:textId="77777777" w:rsidR="00352BF4" w:rsidRDefault="00352BF4" w:rsidP="00352BF4">
      <w:pPr>
        <w:spacing w:after="0" w:line="256" w:lineRule="auto"/>
        <w:rPr>
          <w:b/>
        </w:rPr>
      </w:pPr>
    </w:p>
    <w:p w14:paraId="33AAE5C6" w14:textId="3117FFB7" w:rsidR="007D561C" w:rsidRPr="00352BF4" w:rsidRDefault="00352BF4" w:rsidP="00352BF4">
      <w:pPr>
        <w:spacing w:after="0" w:line="256" w:lineRule="auto"/>
        <w:rPr>
          <w:b/>
        </w:rPr>
      </w:pPr>
      <w:r>
        <w:rPr>
          <w:b/>
        </w:rPr>
        <w:t>Talking points to highlight the need for accessing these dollars:</w:t>
      </w:r>
    </w:p>
    <w:p w14:paraId="35CC150E" w14:textId="13676D18" w:rsidR="000E6A8C" w:rsidRPr="00352BF4" w:rsidRDefault="000E6A8C" w:rsidP="00352BF4">
      <w:pPr>
        <w:spacing w:after="0" w:line="256" w:lineRule="auto"/>
        <w:ind w:left="-360" w:firstLine="360"/>
        <w:rPr>
          <w:b/>
          <w:u w:val="single"/>
        </w:rPr>
      </w:pPr>
      <w:r w:rsidRPr="00352BF4">
        <w:rPr>
          <w:b/>
          <w:u w:val="single"/>
        </w:rPr>
        <w:t xml:space="preserve">COVID Impact on CACs:  </w:t>
      </w:r>
    </w:p>
    <w:p w14:paraId="1E5572F3" w14:textId="3BF026E9" w:rsidR="009C1C94" w:rsidRPr="009C1C94" w:rsidRDefault="009C1C94" w:rsidP="000E6A8C">
      <w:pPr>
        <w:pStyle w:val="ListParagraph"/>
        <w:numPr>
          <w:ilvl w:val="0"/>
          <w:numId w:val="4"/>
        </w:numPr>
        <w:spacing w:after="0" w:line="256" w:lineRule="auto"/>
      </w:pPr>
      <w:r>
        <w:rPr>
          <w:color w:val="000000"/>
          <w:shd w:val="clear" w:color="auto" w:fill="FFFFFF"/>
        </w:rPr>
        <w:t>Discuss the caseload numbers – increases and strains on current resources</w:t>
      </w:r>
    </w:p>
    <w:p w14:paraId="332CF9CB" w14:textId="77777777" w:rsidR="009C1C94" w:rsidRDefault="009C1C94" w:rsidP="000E6A8C">
      <w:pPr>
        <w:pStyle w:val="ListParagraph"/>
        <w:numPr>
          <w:ilvl w:val="0"/>
          <w:numId w:val="4"/>
        </w:numPr>
        <w:spacing w:after="0" w:line="276" w:lineRule="auto"/>
        <w:rPr>
          <w:color w:val="000000"/>
          <w:shd w:val="clear" w:color="auto" w:fill="FFFFFF"/>
        </w:rPr>
      </w:pPr>
      <w:r>
        <w:rPr>
          <w:color w:val="000000"/>
          <w:shd w:val="clear" w:color="auto" w:fill="FFFFFF"/>
        </w:rPr>
        <w:t xml:space="preserve">Explain that </w:t>
      </w:r>
      <w:r w:rsidR="000E6A8C">
        <w:rPr>
          <w:color w:val="000000"/>
          <w:shd w:val="clear" w:color="auto" w:fill="FFFFFF"/>
        </w:rPr>
        <w:t xml:space="preserve">CACs </w:t>
      </w:r>
      <w:r>
        <w:rPr>
          <w:color w:val="000000"/>
          <w:shd w:val="clear" w:color="auto" w:fill="FFFFFF"/>
        </w:rPr>
        <w:t xml:space="preserve">have remained open during the pandemic and </w:t>
      </w:r>
      <w:r w:rsidR="000E6A8C">
        <w:rPr>
          <w:color w:val="000000"/>
          <w:shd w:val="clear" w:color="auto" w:fill="FFFFFF"/>
        </w:rPr>
        <w:t>saw emergency cases</w:t>
      </w:r>
      <w:r>
        <w:rPr>
          <w:color w:val="000000"/>
          <w:shd w:val="clear" w:color="auto" w:fill="FFFFFF"/>
        </w:rPr>
        <w:t>. Also explain any cases where action was postponed or rescheduled, and why they were rescheduled, and then explain the impact of working through this backlog.</w:t>
      </w:r>
    </w:p>
    <w:p w14:paraId="6FA8E781" w14:textId="62D412B6" w:rsidR="000E6A8C" w:rsidRDefault="009C1C94" w:rsidP="000E6A8C">
      <w:pPr>
        <w:pStyle w:val="ListParagraph"/>
        <w:numPr>
          <w:ilvl w:val="0"/>
          <w:numId w:val="4"/>
        </w:numPr>
        <w:spacing w:after="0" w:line="256" w:lineRule="auto"/>
      </w:pPr>
      <w:r>
        <w:rPr>
          <w:color w:val="000000"/>
          <w:shd w:val="clear" w:color="auto" w:fill="FFFFFF"/>
        </w:rPr>
        <w:t xml:space="preserve">Explain how much $ your CAC/State CACs lost in </w:t>
      </w:r>
      <w:r w:rsidR="000E6A8C">
        <w:rPr>
          <w:color w:val="000000"/>
          <w:shd w:val="clear" w:color="auto" w:fill="FFFFFF"/>
        </w:rPr>
        <w:t>revenue in 2020</w:t>
      </w:r>
      <w:r>
        <w:rPr>
          <w:color w:val="000000"/>
          <w:shd w:val="clear" w:color="auto" w:fill="FFFFFF"/>
        </w:rPr>
        <w:t xml:space="preserve"> due to the pandemic</w:t>
      </w:r>
    </w:p>
    <w:p w14:paraId="3DC62EE8" w14:textId="77777777" w:rsidR="000E6A8C" w:rsidRDefault="000E6A8C" w:rsidP="000E6A8C">
      <w:pPr>
        <w:pStyle w:val="ListParagraph"/>
        <w:spacing w:line="256" w:lineRule="auto"/>
      </w:pPr>
    </w:p>
    <w:p w14:paraId="747C0958" w14:textId="77777777" w:rsidR="00352BF4" w:rsidRDefault="00352BF4" w:rsidP="00352BF4">
      <w:pPr>
        <w:spacing w:after="0" w:line="256" w:lineRule="auto"/>
        <w:ind w:left="-360" w:firstLine="360"/>
        <w:rPr>
          <w:b/>
          <w:u w:val="single"/>
        </w:rPr>
      </w:pPr>
    </w:p>
    <w:p w14:paraId="77025B9C" w14:textId="62A1CE81" w:rsidR="000E6A8C" w:rsidRPr="00352BF4" w:rsidRDefault="000E6A8C" w:rsidP="00352BF4">
      <w:pPr>
        <w:spacing w:after="0" w:line="256" w:lineRule="auto"/>
        <w:ind w:left="-360" w:firstLine="360"/>
        <w:rPr>
          <w:b/>
          <w:u w:val="single"/>
        </w:rPr>
      </w:pPr>
      <w:r w:rsidRPr="00352BF4">
        <w:rPr>
          <w:b/>
          <w:u w:val="single"/>
        </w:rPr>
        <w:lastRenderedPageBreak/>
        <w:t>Current CAC Staffing needs</w:t>
      </w:r>
      <w:r w:rsidR="009C1C94" w:rsidRPr="00352BF4">
        <w:rPr>
          <w:b/>
          <w:u w:val="single"/>
        </w:rPr>
        <w:t xml:space="preserve"> – fill in for you CAC or State</w:t>
      </w:r>
      <w:r w:rsidRPr="00352BF4">
        <w:rPr>
          <w:b/>
          <w:u w:val="single"/>
        </w:rPr>
        <w:t>:</w:t>
      </w:r>
    </w:p>
    <w:p w14:paraId="7065D96D" w14:textId="751A33ED" w:rsidR="000E6A8C" w:rsidRPr="009C1C94" w:rsidRDefault="000E6A8C" w:rsidP="009C1C94">
      <w:pPr>
        <w:numPr>
          <w:ilvl w:val="0"/>
          <w:numId w:val="5"/>
        </w:numPr>
        <w:shd w:val="clear" w:color="auto" w:fill="FFFFFF"/>
        <w:spacing w:after="0" w:line="240" w:lineRule="auto"/>
        <w:rPr>
          <w:rFonts w:ascii="Times New Roman" w:hAnsi="Times New Roman"/>
          <w:color w:val="000000"/>
        </w:rPr>
      </w:pPr>
      <w:r w:rsidRPr="009C1C94">
        <w:rPr>
          <w:rFonts w:ascii="Calibri" w:hAnsi="Calibri"/>
          <w:color w:val="000000"/>
          <w:bdr w:val="none" w:sz="0" w:space="0" w:color="auto" w:frame="1"/>
        </w:rPr>
        <w:t xml:space="preserve">In X state, our #of CACs need at least </w:t>
      </w:r>
      <w:r w:rsidR="009C1C94" w:rsidRPr="009C1C94">
        <w:rPr>
          <w:rFonts w:ascii="Calibri" w:hAnsi="Calibri"/>
          <w:color w:val="000000"/>
          <w:bdr w:val="none" w:sz="0" w:space="0" w:color="auto" w:frame="1"/>
        </w:rPr>
        <w:t>X</w:t>
      </w:r>
      <w:r w:rsidRPr="009C1C94">
        <w:rPr>
          <w:rFonts w:ascii="Calibri" w:hAnsi="Calibri"/>
          <w:color w:val="000000"/>
          <w:bdr w:val="none" w:sz="0" w:space="0" w:color="auto" w:frame="1"/>
        </w:rPr>
        <w:t xml:space="preserve"> additional Forensic Interviewer</w:t>
      </w:r>
      <w:r w:rsidR="009C1C94" w:rsidRPr="009C1C94">
        <w:rPr>
          <w:rFonts w:ascii="Calibri" w:hAnsi="Calibri"/>
          <w:color w:val="000000"/>
          <w:bdr w:val="none" w:sz="0" w:space="0" w:color="auto" w:frame="1"/>
        </w:rPr>
        <w:t>s</w:t>
      </w:r>
      <w:r w:rsidRPr="009C1C94">
        <w:rPr>
          <w:rFonts w:ascii="Calibri" w:hAnsi="Calibri"/>
          <w:color w:val="000000"/>
          <w:bdr w:val="none" w:sz="0" w:space="0" w:color="auto" w:frame="1"/>
        </w:rPr>
        <w:t xml:space="preserve"> (average salary of $50K), $X is needed.</w:t>
      </w:r>
    </w:p>
    <w:p w14:paraId="1AED1C7F" w14:textId="67D1BA78" w:rsidR="000E6A8C" w:rsidRPr="009C1C94" w:rsidRDefault="000E6A8C" w:rsidP="009C1C94">
      <w:pPr>
        <w:numPr>
          <w:ilvl w:val="0"/>
          <w:numId w:val="5"/>
        </w:numPr>
        <w:shd w:val="clear" w:color="auto" w:fill="FFFFFF"/>
        <w:spacing w:after="0" w:line="240" w:lineRule="auto"/>
        <w:rPr>
          <w:rFonts w:ascii="Times New Roman" w:hAnsi="Times New Roman"/>
          <w:color w:val="000000"/>
        </w:rPr>
      </w:pPr>
      <w:r w:rsidRPr="009C1C94">
        <w:rPr>
          <w:rFonts w:ascii="Calibri" w:hAnsi="Calibri"/>
          <w:color w:val="000000"/>
          <w:bdr w:val="none" w:sz="0" w:space="0" w:color="auto" w:frame="1"/>
        </w:rPr>
        <w:t xml:space="preserve">In X state, our #of CACs need at least </w:t>
      </w:r>
      <w:r w:rsidR="009C1C94" w:rsidRPr="009C1C94">
        <w:rPr>
          <w:rFonts w:ascii="Calibri" w:hAnsi="Calibri"/>
          <w:color w:val="000000"/>
          <w:bdr w:val="none" w:sz="0" w:space="0" w:color="auto" w:frame="1"/>
        </w:rPr>
        <w:t>X</w:t>
      </w:r>
      <w:r w:rsidRPr="009C1C94">
        <w:rPr>
          <w:rFonts w:ascii="Calibri" w:hAnsi="Calibri"/>
          <w:color w:val="000000"/>
          <w:bdr w:val="none" w:sz="0" w:space="0" w:color="auto" w:frame="1"/>
        </w:rPr>
        <w:t xml:space="preserve"> additional staff to perform medical exams (average salary of $70K), $X is needed.</w:t>
      </w:r>
    </w:p>
    <w:p w14:paraId="44F7C6C0" w14:textId="2A13F1AD" w:rsidR="000E6A8C" w:rsidRPr="009C1C94" w:rsidRDefault="000E6A8C" w:rsidP="009C1C94">
      <w:pPr>
        <w:numPr>
          <w:ilvl w:val="0"/>
          <w:numId w:val="5"/>
        </w:numPr>
        <w:shd w:val="clear" w:color="auto" w:fill="FFFFFF"/>
        <w:spacing w:after="0" w:line="240" w:lineRule="auto"/>
        <w:rPr>
          <w:rFonts w:ascii="Times New Roman" w:hAnsi="Times New Roman"/>
          <w:color w:val="000000"/>
        </w:rPr>
      </w:pPr>
      <w:r w:rsidRPr="009C1C94">
        <w:rPr>
          <w:rFonts w:ascii="Calibri" w:hAnsi="Calibri"/>
          <w:color w:val="000000"/>
          <w:bdr w:val="none" w:sz="0" w:space="0" w:color="auto" w:frame="1"/>
        </w:rPr>
        <w:t>In X state, our #of CACs need at least</w:t>
      </w:r>
      <w:r w:rsidR="009C1C94" w:rsidRPr="009C1C94">
        <w:rPr>
          <w:rFonts w:ascii="Calibri" w:hAnsi="Calibri"/>
          <w:color w:val="000000"/>
          <w:bdr w:val="none" w:sz="0" w:space="0" w:color="auto" w:frame="1"/>
        </w:rPr>
        <w:t xml:space="preserve"> X</w:t>
      </w:r>
      <w:r w:rsidRPr="009C1C94">
        <w:rPr>
          <w:rFonts w:ascii="Calibri" w:hAnsi="Calibri"/>
          <w:color w:val="000000"/>
          <w:bdr w:val="none" w:sz="0" w:space="0" w:color="auto" w:frame="1"/>
        </w:rPr>
        <w:t xml:space="preserve"> additional mental health therapist (average salary of $50K), $X is needed.</w:t>
      </w:r>
    </w:p>
    <w:p w14:paraId="35BF0F6E" w14:textId="4AC91D86" w:rsidR="000E6A8C" w:rsidRPr="009C1C94" w:rsidRDefault="000E6A8C" w:rsidP="009C1C94">
      <w:pPr>
        <w:numPr>
          <w:ilvl w:val="0"/>
          <w:numId w:val="5"/>
        </w:numPr>
        <w:shd w:val="clear" w:color="auto" w:fill="FFFFFF"/>
        <w:spacing w:after="0" w:line="240" w:lineRule="auto"/>
        <w:rPr>
          <w:rFonts w:ascii="Times New Roman" w:hAnsi="Times New Roman"/>
          <w:color w:val="000000"/>
        </w:rPr>
      </w:pPr>
      <w:r w:rsidRPr="009C1C94">
        <w:rPr>
          <w:rFonts w:ascii="Calibri" w:hAnsi="Calibri"/>
          <w:color w:val="000000"/>
          <w:bdr w:val="none" w:sz="0" w:space="0" w:color="auto" w:frame="1"/>
        </w:rPr>
        <w:t xml:space="preserve">In X state, our #of CACs need at least </w:t>
      </w:r>
      <w:r w:rsidR="009C1C94" w:rsidRPr="009C1C94">
        <w:rPr>
          <w:rFonts w:ascii="Calibri" w:hAnsi="Calibri"/>
          <w:color w:val="000000"/>
          <w:bdr w:val="none" w:sz="0" w:space="0" w:color="auto" w:frame="1"/>
        </w:rPr>
        <w:t>X</w:t>
      </w:r>
      <w:r w:rsidRPr="009C1C94">
        <w:rPr>
          <w:rFonts w:ascii="Calibri" w:hAnsi="Calibri"/>
          <w:color w:val="000000"/>
          <w:bdr w:val="none" w:sz="0" w:space="0" w:color="auto" w:frame="1"/>
        </w:rPr>
        <w:t xml:space="preserve"> additional victim advocate (average salary of $40K), $X is needed.</w:t>
      </w:r>
    </w:p>
    <w:p w14:paraId="05AF27BB" w14:textId="662C45D4" w:rsidR="009C1C94" w:rsidRPr="009C1C94" w:rsidRDefault="009C1C94" w:rsidP="009C1C94">
      <w:pPr>
        <w:numPr>
          <w:ilvl w:val="0"/>
          <w:numId w:val="5"/>
        </w:numPr>
        <w:shd w:val="clear" w:color="auto" w:fill="FFFFFF"/>
        <w:spacing w:after="0" w:line="240" w:lineRule="auto"/>
        <w:rPr>
          <w:rFonts w:ascii="Times New Roman" w:hAnsi="Times New Roman"/>
          <w:color w:val="000000"/>
        </w:rPr>
      </w:pPr>
      <w:r w:rsidRPr="009C1C94">
        <w:rPr>
          <w:rFonts w:ascii="Calibri" w:hAnsi="Calibri"/>
          <w:color w:val="000000"/>
          <w:bdr w:val="none" w:sz="0" w:space="0" w:color="auto" w:frame="1"/>
        </w:rPr>
        <w:t>Additional staffing needs to ensure you are able to meet the needs of the communities.</w:t>
      </w:r>
      <w:r>
        <w:rPr>
          <w:rFonts w:ascii="Calibri" w:hAnsi="Calibri"/>
          <w:color w:val="000000"/>
          <w:bdr w:val="none" w:sz="0" w:space="0" w:color="auto" w:frame="1"/>
        </w:rPr>
        <w:t xml:space="preserve"> – Describe specific needs to your state or CAC – i.e. admin, coordinator, other needed positions</w:t>
      </w:r>
    </w:p>
    <w:p w14:paraId="41E8EDBF" w14:textId="77777777" w:rsidR="000E6A8C" w:rsidRDefault="000E6A8C" w:rsidP="000E6A8C">
      <w:pPr>
        <w:pStyle w:val="ListParagraph"/>
      </w:pPr>
    </w:p>
    <w:p w14:paraId="7CED01B6" w14:textId="77777777" w:rsidR="009C1C94" w:rsidRPr="009C1C94" w:rsidRDefault="000E6A8C" w:rsidP="00352BF4">
      <w:pPr>
        <w:spacing w:after="0" w:line="256" w:lineRule="auto"/>
        <w:ind w:left="-360" w:firstLine="360"/>
      </w:pPr>
      <w:r w:rsidRPr="00352BF4">
        <w:rPr>
          <w:b/>
        </w:rPr>
        <w:t>VOCA/CVF</w:t>
      </w:r>
      <w:r>
        <w:t xml:space="preserve"> has made a big difference for CAC</w:t>
      </w:r>
      <w:r w:rsidRPr="009C1C94">
        <w:t xml:space="preserve">s! </w:t>
      </w:r>
    </w:p>
    <w:p w14:paraId="3E64FB67" w14:textId="77777777" w:rsidR="009C1C94" w:rsidRDefault="000E6A8C" w:rsidP="009C1C94">
      <w:pPr>
        <w:pStyle w:val="ListParagraph"/>
        <w:numPr>
          <w:ilvl w:val="0"/>
          <w:numId w:val="3"/>
        </w:numPr>
        <w:spacing w:after="0" w:line="256" w:lineRule="auto"/>
      </w:pPr>
      <w:r w:rsidRPr="009C1C94">
        <w:t>CACs in X state have gone from $X to $X in VOCA funding.</w:t>
      </w:r>
      <w:r>
        <w:t xml:space="preserve"> (But the CVF that funds VOCA grants is expected to be at $0 by 2022. </w:t>
      </w:r>
    </w:p>
    <w:p w14:paraId="1FF59F1E" w14:textId="2B678BA5" w:rsidR="000E6A8C" w:rsidRDefault="000E6A8C" w:rsidP="009C1C94">
      <w:pPr>
        <w:pStyle w:val="ListParagraph"/>
        <w:numPr>
          <w:ilvl w:val="0"/>
          <w:numId w:val="3"/>
        </w:numPr>
        <w:spacing w:after="0" w:line="256" w:lineRule="auto"/>
      </w:pPr>
      <w:r w:rsidRPr="009C1C94">
        <w:t>And here in X, we are currently facing X% cuts. With VOCA in such a dire situation, states are already making significant cuts, with even more coming to CACs and other service providers</w:t>
      </w:r>
      <w:r w:rsidR="00465F35" w:rsidRPr="009C1C94">
        <w:t>, with another X% next year</w:t>
      </w:r>
      <w:r w:rsidRPr="009C1C94">
        <w:t xml:space="preserve">. </w:t>
      </w:r>
      <w:r w:rsidR="00465F35" w:rsidRPr="009C1C94">
        <w:t>Congress is working on a fix for VOCA, but replenishing the Fund will take time. For this reason, CACs and</w:t>
      </w:r>
      <w:r w:rsidR="00465F35">
        <w:t xml:space="preserve"> Chapters need emergency dollars to help bridge this gap.</w:t>
      </w:r>
    </w:p>
    <w:p w14:paraId="2CE5F680" w14:textId="77777777" w:rsidR="00465F35" w:rsidRDefault="00465F35" w:rsidP="00465F35">
      <w:pPr>
        <w:pStyle w:val="ListParagraph"/>
        <w:spacing w:after="0" w:line="256" w:lineRule="auto"/>
        <w:ind w:left="0"/>
      </w:pPr>
    </w:p>
    <w:p w14:paraId="16BD40F1" w14:textId="77777777" w:rsidR="000E6A8C" w:rsidRDefault="000E6A8C" w:rsidP="000E6A8C">
      <w:pPr>
        <w:pStyle w:val="ListParagraph"/>
        <w:spacing w:line="256" w:lineRule="auto"/>
        <w:rPr>
          <w:u w:val="single"/>
        </w:rPr>
      </w:pPr>
    </w:p>
    <w:p w14:paraId="75711020" w14:textId="296A8BA1" w:rsidR="000E6A8C" w:rsidRDefault="000E6A8C" w:rsidP="000E6A8C">
      <w:pPr>
        <w:pStyle w:val="ListParagraph"/>
        <w:spacing w:line="256" w:lineRule="auto"/>
      </w:pPr>
      <w:r>
        <w:t xml:space="preserve"> </w:t>
      </w:r>
    </w:p>
    <w:sectPr w:rsidR="000E6A8C" w:rsidSect="00A87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Arial"/>
    <w:panose1 w:val="02000403000000020004"/>
    <w:charset w:val="00"/>
    <w:family w:val="auto"/>
    <w:pitch w:val="variable"/>
    <w:sig w:usb0="8000027F" w:usb1="0000000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DAD"/>
    <w:multiLevelType w:val="hybridMultilevel"/>
    <w:tmpl w:val="CC08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6F63AC"/>
    <w:multiLevelType w:val="hybridMultilevel"/>
    <w:tmpl w:val="F67C737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E2792"/>
    <w:multiLevelType w:val="hybridMultilevel"/>
    <w:tmpl w:val="7944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A841C6"/>
    <w:multiLevelType w:val="multilevel"/>
    <w:tmpl w:val="F19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74BF5"/>
    <w:multiLevelType w:val="hybridMultilevel"/>
    <w:tmpl w:val="9A3207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765D6C"/>
    <w:multiLevelType w:val="hybridMultilevel"/>
    <w:tmpl w:val="7A6C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809DC"/>
    <w:multiLevelType w:val="hybridMultilevel"/>
    <w:tmpl w:val="C2E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74A93"/>
    <w:multiLevelType w:val="hybridMultilevel"/>
    <w:tmpl w:val="3FAE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50CD1"/>
    <w:multiLevelType w:val="hybridMultilevel"/>
    <w:tmpl w:val="DDEC3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7859AB"/>
    <w:multiLevelType w:val="hybridMultilevel"/>
    <w:tmpl w:val="978C7A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C5321C"/>
    <w:multiLevelType w:val="hybridMultilevel"/>
    <w:tmpl w:val="241EE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2C5299"/>
    <w:multiLevelType w:val="hybridMultilevel"/>
    <w:tmpl w:val="128C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C11A74"/>
    <w:multiLevelType w:val="hybridMultilevel"/>
    <w:tmpl w:val="1CC06528"/>
    <w:lvl w:ilvl="0" w:tplc="14AC572C">
      <w:start w:val="1"/>
      <w:numFmt w:val="bullet"/>
      <w:lvlText w:val=""/>
      <w:lvlJc w:val="left"/>
      <w:pPr>
        <w:tabs>
          <w:tab w:val="num" w:pos="720"/>
        </w:tabs>
        <w:ind w:left="720" w:hanging="360"/>
      </w:pPr>
      <w:rPr>
        <w:rFonts w:ascii="Symbol" w:hAnsi="Symbol" w:hint="default"/>
      </w:rPr>
    </w:lvl>
    <w:lvl w:ilvl="1" w:tplc="99F25E82" w:tentative="1">
      <w:start w:val="1"/>
      <w:numFmt w:val="bullet"/>
      <w:lvlText w:val=""/>
      <w:lvlJc w:val="left"/>
      <w:pPr>
        <w:tabs>
          <w:tab w:val="num" w:pos="1440"/>
        </w:tabs>
        <w:ind w:left="1440" w:hanging="360"/>
      </w:pPr>
      <w:rPr>
        <w:rFonts w:ascii="Symbol" w:hAnsi="Symbol" w:hint="default"/>
      </w:rPr>
    </w:lvl>
    <w:lvl w:ilvl="2" w:tplc="2032A85C">
      <w:start w:val="1"/>
      <w:numFmt w:val="bullet"/>
      <w:lvlText w:val=""/>
      <w:lvlJc w:val="left"/>
      <w:pPr>
        <w:tabs>
          <w:tab w:val="num" w:pos="2160"/>
        </w:tabs>
        <w:ind w:left="2160" w:hanging="360"/>
      </w:pPr>
      <w:rPr>
        <w:rFonts w:ascii="Symbol" w:hAnsi="Symbol" w:hint="default"/>
      </w:rPr>
    </w:lvl>
    <w:lvl w:ilvl="3" w:tplc="833E6B54" w:tentative="1">
      <w:start w:val="1"/>
      <w:numFmt w:val="bullet"/>
      <w:lvlText w:val=""/>
      <w:lvlJc w:val="left"/>
      <w:pPr>
        <w:tabs>
          <w:tab w:val="num" w:pos="2880"/>
        </w:tabs>
        <w:ind w:left="2880" w:hanging="360"/>
      </w:pPr>
      <w:rPr>
        <w:rFonts w:ascii="Symbol" w:hAnsi="Symbol" w:hint="default"/>
      </w:rPr>
    </w:lvl>
    <w:lvl w:ilvl="4" w:tplc="EE34E464" w:tentative="1">
      <w:start w:val="1"/>
      <w:numFmt w:val="bullet"/>
      <w:lvlText w:val=""/>
      <w:lvlJc w:val="left"/>
      <w:pPr>
        <w:tabs>
          <w:tab w:val="num" w:pos="3600"/>
        </w:tabs>
        <w:ind w:left="3600" w:hanging="360"/>
      </w:pPr>
      <w:rPr>
        <w:rFonts w:ascii="Symbol" w:hAnsi="Symbol" w:hint="default"/>
      </w:rPr>
    </w:lvl>
    <w:lvl w:ilvl="5" w:tplc="65D87D7E" w:tentative="1">
      <w:start w:val="1"/>
      <w:numFmt w:val="bullet"/>
      <w:lvlText w:val=""/>
      <w:lvlJc w:val="left"/>
      <w:pPr>
        <w:tabs>
          <w:tab w:val="num" w:pos="4320"/>
        </w:tabs>
        <w:ind w:left="4320" w:hanging="360"/>
      </w:pPr>
      <w:rPr>
        <w:rFonts w:ascii="Symbol" w:hAnsi="Symbol" w:hint="default"/>
      </w:rPr>
    </w:lvl>
    <w:lvl w:ilvl="6" w:tplc="E2A0CFA8" w:tentative="1">
      <w:start w:val="1"/>
      <w:numFmt w:val="bullet"/>
      <w:lvlText w:val=""/>
      <w:lvlJc w:val="left"/>
      <w:pPr>
        <w:tabs>
          <w:tab w:val="num" w:pos="5040"/>
        </w:tabs>
        <w:ind w:left="5040" w:hanging="360"/>
      </w:pPr>
      <w:rPr>
        <w:rFonts w:ascii="Symbol" w:hAnsi="Symbol" w:hint="default"/>
      </w:rPr>
    </w:lvl>
    <w:lvl w:ilvl="7" w:tplc="0F9058D6" w:tentative="1">
      <w:start w:val="1"/>
      <w:numFmt w:val="bullet"/>
      <w:lvlText w:val=""/>
      <w:lvlJc w:val="left"/>
      <w:pPr>
        <w:tabs>
          <w:tab w:val="num" w:pos="5760"/>
        </w:tabs>
        <w:ind w:left="5760" w:hanging="360"/>
      </w:pPr>
      <w:rPr>
        <w:rFonts w:ascii="Symbol" w:hAnsi="Symbol" w:hint="default"/>
      </w:rPr>
    </w:lvl>
    <w:lvl w:ilvl="8" w:tplc="94482B6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4"/>
  </w:num>
  <w:num w:numId="5">
    <w:abstractNumId w:val="0"/>
  </w:num>
  <w:num w:numId="6">
    <w:abstractNumId w:val="9"/>
  </w:num>
  <w:num w:numId="7">
    <w:abstractNumId w:val="6"/>
  </w:num>
  <w:num w:numId="8">
    <w:abstractNumId w:val="8"/>
  </w:num>
  <w:num w:numId="9">
    <w:abstractNumId w:val="1"/>
  </w:num>
  <w:num w:numId="10">
    <w:abstractNumId w:val="7"/>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7B"/>
    <w:rsid w:val="00064195"/>
    <w:rsid w:val="000763DD"/>
    <w:rsid w:val="000E6A8C"/>
    <w:rsid w:val="00164392"/>
    <w:rsid w:val="00275CC0"/>
    <w:rsid w:val="00341E7B"/>
    <w:rsid w:val="00352BF4"/>
    <w:rsid w:val="003A0004"/>
    <w:rsid w:val="00465F35"/>
    <w:rsid w:val="00542267"/>
    <w:rsid w:val="007D561C"/>
    <w:rsid w:val="00825223"/>
    <w:rsid w:val="00866813"/>
    <w:rsid w:val="009316BC"/>
    <w:rsid w:val="00943780"/>
    <w:rsid w:val="009467D0"/>
    <w:rsid w:val="009C1C94"/>
    <w:rsid w:val="00A877B1"/>
    <w:rsid w:val="00B02E3A"/>
    <w:rsid w:val="00C61245"/>
    <w:rsid w:val="00CD1561"/>
    <w:rsid w:val="00D16A86"/>
    <w:rsid w:val="00D553C1"/>
    <w:rsid w:val="00F5530D"/>
    <w:rsid w:val="00F855A0"/>
    <w:rsid w:val="00FB4C46"/>
    <w:rsid w:val="00FC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1FD5"/>
  <w15:chartTrackingRefBased/>
  <w15:docId w15:val="{65DB28E6-0FDB-4B49-AD28-BB8736F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7B"/>
    <w:rPr>
      <w:color w:val="0000FF"/>
      <w:u w:val="single"/>
    </w:rPr>
  </w:style>
  <w:style w:type="character" w:styleId="FollowedHyperlink">
    <w:name w:val="FollowedHyperlink"/>
    <w:basedOn w:val="DefaultParagraphFont"/>
    <w:uiPriority w:val="99"/>
    <w:semiHidden/>
    <w:unhideWhenUsed/>
    <w:rsid w:val="00F855A0"/>
    <w:rPr>
      <w:color w:val="954F72" w:themeColor="followedHyperlink"/>
      <w:u w:val="single"/>
    </w:rPr>
  </w:style>
  <w:style w:type="character" w:customStyle="1" w:styleId="UnresolvedMention1">
    <w:name w:val="Unresolved Mention1"/>
    <w:basedOn w:val="DefaultParagraphFont"/>
    <w:uiPriority w:val="99"/>
    <w:semiHidden/>
    <w:unhideWhenUsed/>
    <w:rsid w:val="00F855A0"/>
    <w:rPr>
      <w:color w:val="605E5C"/>
      <w:shd w:val="clear" w:color="auto" w:fill="E1DFDD"/>
    </w:rPr>
  </w:style>
  <w:style w:type="paragraph" w:styleId="ListParagraph">
    <w:name w:val="List Paragraph"/>
    <w:basedOn w:val="Normal"/>
    <w:uiPriority w:val="34"/>
    <w:qFormat/>
    <w:rsid w:val="00C61245"/>
    <w:pPr>
      <w:ind w:left="720"/>
      <w:contextualSpacing/>
    </w:pPr>
  </w:style>
  <w:style w:type="paragraph" w:styleId="NormalWeb">
    <w:name w:val="Normal (Web)"/>
    <w:basedOn w:val="Normal"/>
    <w:uiPriority w:val="99"/>
    <w:semiHidden/>
    <w:unhideWhenUsed/>
    <w:rsid w:val="00FC0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7460">
      <w:bodyDiv w:val="1"/>
      <w:marLeft w:val="0"/>
      <w:marRight w:val="0"/>
      <w:marTop w:val="0"/>
      <w:marBottom w:val="0"/>
      <w:divBdr>
        <w:top w:val="none" w:sz="0" w:space="0" w:color="auto"/>
        <w:left w:val="none" w:sz="0" w:space="0" w:color="auto"/>
        <w:bottom w:val="none" w:sz="0" w:space="0" w:color="auto"/>
        <w:right w:val="none" w:sz="0" w:space="0" w:color="auto"/>
      </w:divBdr>
    </w:div>
    <w:div w:id="756487748">
      <w:bodyDiv w:val="1"/>
      <w:marLeft w:val="0"/>
      <w:marRight w:val="0"/>
      <w:marTop w:val="0"/>
      <w:marBottom w:val="0"/>
      <w:divBdr>
        <w:top w:val="none" w:sz="0" w:space="0" w:color="auto"/>
        <w:left w:val="none" w:sz="0" w:space="0" w:color="auto"/>
        <w:bottom w:val="none" w:sz="0" w:space="0" w:color="auto"/>
        <w:right w:val="none" w:sz="0" w:space="0" w:color="auto"/>
      </w:divBdr>
    </w:div>
    <w:div w:id="1129518627">
      <w:bodyDiv w:val="1"/>
      <w:marLeft w:val="0"/>
      <w:marRight w:val="0"/>
      <w:marTop w:val="0"/>
      <w:marBottom w:val="0"/>
      <w:divBdr>
        <w:top w:val="none" w:sz="0" w:space="0" w:color="auto"/>
        <w:left w:val="none" w:sz="0" w:space="0" w:color="auto"/>
        <w:bottom w:val="none" w:sz="0" w:space="0" w:color="auto"/>
        <w:right w:val="none" w:sz="0" w:space="0" w:color="auto"/>
      </w:divBdr>
      <w:divsChild>
        <w:div w:id="1805392623">
          <w:marLeft w:val="1800"/>
          <w:marRight w:val="0"/>
          <w:marTop w:val="60"/>
          <w:marBottom w:val="40"/>
          <w:divBdr>
            <w:top w:val="none" w:sz="0" w:space="0" w:color="auto"/>
            <w:left w:val="none" w:sz="0" w:space="0" w:color="auto"/>
            <w:bottom w:val="none" w:sz="0" w:space="0" w:color="auto"/>
            <w:right w:val="none" w:sz="0" w:space="0" w:color="auto"/>
          </w:divBdr>
        </w:div>
        <w:div w:id="1848866002">
          <w:marLeft w:val="1800"/>
          <w:marRight w:val="0"/>
          <w:marTop w:val="60"/>
          <w:marBottom w:val="40"/>
          <w:divBdr>
            <w:top w:val="none" w:sz="0" w:space="0" w:color="auto"/>
            <w:left w:val="none" w:sz="0" w:space="0" w:color="auto"/>
            <w:bottom w:val="none" w:sz="0" w:space="0" w:color="auto"/>
            <w:right w:val="none" w:sz="0" w:space="0" w:color="auto"/>
          </w:divBdr>
        </w:div>
        <w:div w:id="2118940869">
          <w:marLeft w:val="1800"/>
          <w:marRight w:val="0"/>
          <w:marTop w:val="60"/>
          <w:marBottom w:val="40"/>
          <w:divBdr>
            <w:top w:val="none" w:sz="0" w:space="0" w:color="auto"/>
            <w:left w:val="none" w:sz="0" w:space="0" w:color="auto"/>
            <w:bottom w:val="none" w:sz="0" w:space="0" w:color="auto"/>
            <w:right w:val="none" w:sz="0" w:space="0" w:color="auto"/>
          </w:divBdr>
        </w:div>
      </w:divsChild>
    </w:div>
    <w:div w:id="18044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c.org/resource/estimated-local-allocations-in-the-american-rescue-plan/" TargetMode="External"/><Relationship Id="rId3" Type="http://schemas.openxmlformats.org/officeDocument/2006/relationships/settings" Target="settings.xml"/><Relationship Id="rId7" Type="http://schemas.openxmlformats.org/officeDocument/2006/relationships/hyperlink" Target="https://www.naco.org/resources/featured/state-and-local-coronavirus-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crats.senate.gov/imo/media/doc/ARP%20-%20Title-by-Title%20Summary.pdf" TargetMode="External"/><Relationship Id="rId11" Type="http://schemas.openxmlformats.org/officeDocument/2006/relationships/theme" Target="theme/theme1.xml"/><Relationship Id="rId5" Type="http://schemas.openxmlformats.org/officeDocument/2006/relationships/hyperlink" Target="https://www.congress.gov/117/bills/hr1319/BILLS-117hr1319en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treasury.gov/policy-issues/coronavirus/assistance-for-state-local-and-tribal-governments/state-and-local-fiscal-recove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80E0E661.dotm</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Laird</dc:creator>
  <cp:keywords/>
  <dc:description/>
  <cp:lastModifiedBy>Denise Edwards</cp:lastModifiedBy>
  <cp:revision>2</cp:revision>
  <dcterms:created xsi:type="dcterms:W3CDTF">2021-05-25T15:11:00Z</dcterms:created>
  <dcterms:modified xsi:type="dcterms:W3CDTF">2021-05-25T15:11:00Z</dcterms:modified>
</cp:coreProperties>
</file>