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E6" w:rsidRPr="006C3EA2" w:rsidRDefault="00185DCE" w:rsidP="00185DCE">
      <w:pPr>
        <w:jc w:val="center"/>
        <w:rPr>
          <w:b/>
          <w:sz w:val="24"/>
          <w:szCs w:val="24"/>
        </w:rPr>
      </w:pPr>
      <w:r w:rsidRPr="006C3EA2">
        <w:rPr>
          <w:b/>
          <w:sz w:val="24"/>
          <w:szCs w:val="24"/>
        </w:rPr>
        <w:t>Child Abuse Prevention Treatment Act (CAPTA) Reauthorization and CACs</w:t>
      </w:r>
    </w:p>
    <w:p w:rsidR="00382CE6" w:rsidRPr="00382CE6" w:rsidRDefault="006C3EA2" w:rsidP="002763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Child Abuse Prevention Treatment Act (CAPTA) </w:t>
      </w:r>
      <w:r w:rsidR="00276373" w:rsidRPr="00276373">
        <w:rPr>
          <w:sz w:val="24"/>
          <w:szCs w:val="24"/>
        </w:rPr>
        <w:t xml:space="preserve">provides </w:t>
      </w:r>
      <w:r w:rsidR="00276373">
        <w:rPr>
          <w:sz w:val="24"/>
          <w:szCs w:val="24"/>
        </w:rPr>
        <w:t>fe</w:t>
      </w:r>
      <w:r w:rsidR="00276373" w:rsidRPr="00276373">
        <w:rPr>
          <w:sz w:val="24"/>
          <w:szCs w:val="24"/>
        </w:rPr>
        <w:t>deral funding and guidance to States in support of prevention,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assessment, investigation, prosecution, and treatment activities and also provides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grants to public agencies and nonprofit organizations, including Indian Tribes and Tribal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organizations, for demonstration programs and projects. Additionally, CAPTA identifies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the Federal role in supporting research, evaluation, technical assistance, and data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collection activities; establishes the Office on Child Abuse and Neglect; and establishes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>a national clearinghouse of information relat</w:t>
      </w:r>
      <w:r w:rsidR="00276373">
        <w:rPr>
          <w:sz w:val="24"/>
          <w:szCs w:val="24"/>
        </w:rPr>
        <w:t>ing to child abuse and neglect.</w:t>
      </w:r>
      <w:r w:rsidR="00276373" w:rsidRPr="00276373">
        <w:rPr>
          <w:sz w:val="24"/>
          <w:szCs w:val="24"/>
        </w:rPr>
        <w:t xml:space="preserve"> CAPTA also</w:t>
      </w:r>
      <w:r w:rsidR="00276373">
        <w:rPr>
          <w:sz w:val="24"/>
          <w:szCs w:val="24"/>
        </w:rPr>
        <w:t xml:space="preserve"> </w:t>
      </w:r>
      <w:r w:rsidR="00276373" w:rsidRPr="00276373">
        <w:rPr>
          <w:sz w:val="24"/>
          <w:szCs w:val="24"/>
        </w:rPr>
        <w:t xml:space="preserve">sets forth a Federal definition of child abuse and neglect. </w:t>
      </w:r>
    </w:p>
    <w:p w:rsidR="00382CE6" w:rsidRDefault="00382CE6" w:rsidP="00382CE6">
      <w:pPr>
        <w:spacing w:after="0"/>
        <w:rPr>
          <w:sz w:val="24"/>
          <w:szCs w:val="24"/>
        </w:rPr>
      </w:pPr>
    </w:p>
    <w:p w:rsidR="006C3EA2" w:rsidRDefault="006C3EA2" w:rsidP="00382C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year, Congress is </w:t>
      </w:r>
      <w:r w:rsidR="00A41496">
        <w:rPr>
          <w:sz w:val="24"/>
          <w:szCs w:val="24"/>
        </w:rPr>
        <w:t xml:space="preserve">again working to </w:t>
      </w:r>
      <w:r w:rsidRPr="00382CE6">
        <w:rPr>
          <w:sz w:val="24"/>
          <w:szCs w:val="24"/>
        </w:rPr>
        <w:t>reauthoriz</w:t>
      </w:r>
      <w:r>
        <w:rPr>
          <w:sz w:val="24"/>
          <w:szCs w:val="24"/>
        </w:rPr>
        <w:t xml:space="preserve">e the </w:t>
      </w:r>
      <w:r w:rsidRPr="00382CE6">
        <w:rPr>
          <w:sz w:val="24"/>
          <w:szCs w:val="24"/>
        </w:rPr>
        <w:t>Child Abuse Prevention Treatment Act (CAPTA).</w:t>
      </w:r>
      <w:r>
        <w:rPr>
          <w:sz w:val="24"/>
          <w:szCs w:val="24"/>
        </w:rPr>
        <w:t xml:space="preserve"> </w:t>
      </w:r>
    </w:p>
    <w:p w:rsidR="006C3EA2" w:rsidRDefault="006C3EA2" w:rsidP="00382CE6">
      <w:pPr>
        <w:spacing w:after="0"/>
        <w:rPr>
          <w:sz w:val="24"/>
          <w:szCs w:val="24"/>
        </w:rPr>
      </w:pPr>
    </w:p>
    <w:p w:rsidR="00382CE6" w:rsidRPr="00382CE6" w:rsidRDefault="006C3EA2" w:rsidP="00382CE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House’s version</w:t>
      </w:r>
      <w:r w:rsidR="00DC0ABB">
        <w:rPr>
          <w:sz w:val="24"/>
          <w:szCs w:val="24"/>
        </w:rPr>
        <w:t xml:space="preserve"> – the </w:t>
      </w:r>
      <w:r w:rsidR="00382CE6" w:rsidRPr="00382CE6">
        <w:rPr>
          <w:b/>
          <w:bCs/>
          <w:i/>
          <w:iCs/>
          <w:sz w:val="24"/>
          <w:szCs w:val="24"/>
        </w:rPr>
        <w:t>Stronger Child Abu</w:t>
      </w:r>
      <w:r w:rsidR="00DC0ABB">
        <w:rPr>
          <w:b/>
          <w:bCs/>
          <w:i/>
          <w:iCs/>
          <w:sz w:val="24"/>
          <w:szCs w:val="24"/>
        </w:rPr>
        <w:t xml:space="preserve">se Prevention and Treatment Act </w:t>
      </w:r>
      <w:r w:rsidR="00DC0ABB" w:rsidRPr="00DC0ABB">
        <w:rPr>
          <w:bCs/>
          <w:iCs/>
          <w:sz w:val="24"/>
          <w:szCs w:val="24"/>
        </w:rPr>
        <w:t>– passed on Ma</w:t>
      </w:r>
      <w:r w:rsidR="00A41496">
        <w:rPr>
          <w:bCs/>
          <w:iCs/>
          <w:sz w:val="24"/>
          <w:szCs w:val="24"/>
        </w:rPr>
        <w:t>rch 17, 2021</w:t>
      </w:r>
      <w:r w:rsidR="00DC0ABB" w:rsidRPr="00DC0ABB">
        <w:rPr>
          <w:bCs/>
          <w:iCs/>
          <w:sz w:val="24"/>
          <w:szCs w:val="24"/>
        </w:rPr>
        <w:t>. This bill</w:t>
      </w:r>
      <w:r w:rsidR="00DC0ABB">
        <w:rPr>
          <w:b/>
          <w:bCs/>
          <w:i/>
          <w:iCs/>
          <w:sz w:val="24"/>
          <w:szCs w:val="24"/>
        </w:rPr>
        <w:t>:</w:t>
      </w:r>
    </w:p>
    <w:p w:rsidR="00382CE6" w:rsidRPr="00382CE6" w:rsidRDefault="00382CE6" w:rsidP="00382C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2CE6">
        <w:rPr>
          <w:sz w:val="24"/>
          <w:szCs w:val="24"/>
        </w:rPr>
        <w:t>Shifts focus toward prevention by helping states to build networks of cost-effective and locally-driven services that prevent child abuse and strengthen families; </w:t>
      </w:r>
    </w:p>
    <w:p w:rsidR="00382CE6" w:rsidRPr="00382CE6" w:rsidRDefault="00382CE6" w:rsidP="00382C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2CE6">
        <w:rPr>
          <w:sz w:val="24"/>
          <w:szCs w:val="24"/>
        </w:rPr>
        <w:t>Builds the capacity of child protective services agencies that are overburdened with increased caseloads due to the opioid epidemic; </w:t>
      </w:r>
    </w:p>
    <w:p w:rsidR="00382CE6" w:rsidRPr="00382CE6" w:rsidRDefault="00382CE6" w:rsidP="00382C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2CE6">
        <w:rPr>
          <w:sz w:val="24"/>
          <w:szCs w:val="24"/>
        </w:rPr>
        <w:t xml:space="preserve">Improves the sharing and quality of data to better understand the scope of child abuse and neglect and ensure victims do not fall through the cracks; and </w:t>
      </w:r>
    </w:p>
    <w:p w:rsidR="00382CE6" w:rsidRPr="00382CE6" w:rsidRDefault="00382CE6" w:rsidP="00382C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82CE6">
        <w:rPr>
          <w:sz w:val="24"/>
          <w:szCs w:val="24"/>
        </w:rPr>
        <w:t xml:space="preserve">Supports evidence-based strategies to treat and prevent child abuse and neglect.  </w:t>
      </w:r>
    </w:p>
    <w:p w:rsidR="00382CE6" w:rsidRDefault="00382CE6" w:rsidP="00382CE6">
      <w:pPr>
        <w:spacing w:after="0"/>
        <w:rPr>
          <w:sz w:val="24"/>
          <w:szCs w:val="24"/>
        </w:rPr>
      </w:pPr>
    </w:p>
    <w:p w:rsidR="00A41496" w:rsidRDefault="00A41496" w:rsidP="002763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currently await the Senate’s </w:t>
      </w:r>
      <w:r w:rsidR="00472D07">
        <w:rPr>
          <w:sz w:val="24"/>
          <w:szCs w:val="24"/>
        </w:rPr>
        <w:t xml:space="preserve">final </w:t>
      </w:r>
      <w:r>
        <w:rPr>
          <w:sz w:val="24"/>
          <w:szCs w:val="24"/>
        </w:rPr>
        <w:t>draft CAPTA reauthorization proposal; however, senate staffers have indicated an increase in highlighting CACs and MDT responses in the bill.</w:t>
      </w:r>
    </w:p>
    <w:p w:rsidR="00A41496" w:rsidRDefault="00A41496" w:rsidP="00276373">
      <w:pPr>
        <w:spacing w:after="0"/>
        <w:rPr>
          <w:sz w:val="24"/>
          <w:szCs w:val="24"/>
        </w:rPr>
      </w:pPr>
    </w:p>
    <w:p w:rsidR="006C3EA2" w:rsidRDefault="00276373" w:rsidP="00276373">
      <w:pPr>
        <w:spacing w:after="0"/>
        <w:rPr>
          <w:sz w:val="24"/>
          <w:szCs w:val="24"/>
        </w:rPr>
      </w:pPr>
      <w:r w:rsidRPr="00276373">
        <w:rPr>
          <w:sz w:val="24"/>
          <w:szCs w:val="24"/>
        </w:rPr>
        <w:t xml:space="preserve">NCA has been working closely with the National Child Abuse Coalition, as well as House and Senate offices, to highlight CACs in </w:t>
      </w:r>
      <w:r w:rsidR="006C3EA2">
        <w:rPr>
          <w:sz w:val="24"/>
          <w:szCs w:val="24"/>
        </w:rPr>
        <w:t>the reauthorization of CAPTA, specifically by:</w:t>
      </w:r>
    </w:p>
    <w:p w:rsidR="00276373" w:rsidRDefault="00276373" w:rsidP="006C3E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EA2">
        <w:rPr>
          <w:sz w:val="24"/>
          <w:szCs w:val="24"/>
        </w:rPr>
        <w:t>Increas</w:t>
      </w:r>
      <w:r w:rsidR="00377331">
        <w:rPr>
          <w:sz w:val="24"/>
          <w:szCs w:val="24"/>
        </w:rPr>
        <w:t xml:space="preserve">ing the proposed CAPTA funding. (The House proposal increases CAPTA funding to </w:t>
      </w:r>
      <w:r w:rsidR="006C3EA2">
        <w:rPr>
          <w:sz w:val="24"/>
          <w:szCs w:val="24"/>
        </w:rPr>
        <w:t>$540M</w:t>
      </w:r>
      <w:r w:rsidR="00377331">
        <w:rPr>
          <w:sz w:val="24"/>
          <w:szCs w:val="24"/>
        </w:rPr>
        <w:t xml:space="preserve"> in FY20</w:t>
      </w:r>
      <w:r w:rsidRPr="006C3EA2">
        <w:rPr>
          <w:sz w:val="24"/>
          <w:szCs w:val="24"/>
        </w:rPr>
        <w:t xml:space="preserve">. Currently, funding for both titles is about $160 million.) </w:t>
      </w:r>
      <w:r w:rsidRPr="006C3EA2">
        <w:rPr>
          <w:b/>
          <w:i/>
          <w:sz w:val="24"/>
          <w:szCs w:val="24"/>
        </w:rPr>
        <w:t>NCA and Coalition leaders held up CACs as an example of a service provider that falls squarely in the eligibility of CAPTA, yet receive little</w:t>
      </w:r>
      <w:r w:rsidR="006C3EA2" w:rsidRPr="006C3EA2">
        <w:rPr>
          <w:b/>
          <w:i/>
          <w:sz w:val="24"/>
          <w:szCs w:val="24"/>
        </w:rPr>
        <w:t xml:space="preserve"> to no funding from the States</w:t>
      </w:r>
      <w:r w:rsidR="006C3EA2">
        <w:rPr>
          <w:sz w:val="24"/>
          <w:szCs w:val="24"/>
        </w:rPr>
        <w:t>;</w:t>
      </w:r>
    </w:p>
    <w:p w:rsidR="00A41496" w:rsidRDefault="00A41496" w:rsidP="00A41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496">
        <w:rPr>
          <w:sz w:val="24"/>
          <w:szCs w:val="24"/>
        </w:rPr>
        <w:t xml:space="preserve">Including CACs as an “eligible use” of these funds and highlighting that CACs are the models that states should be using when using MDTs; </w:t>
      </w:r>
    </w:p>
    <w:p w:rsidR="00472D07" w:rsidRPr="00472D07" w:rsidRDefault="00472D07" w:rsidP="00472D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D07">
        <w:rPr>
          <w:sz w:val="24"/>
          <w:szCs w:val="24"/>
        </w:rPr>
        <w:t>Including provisions to provide for immunity from civil and criminal liability for individuals making good faith reports of suspected abuse</w:t>
      </w:r>
    </w:p>
    <w:p w:rsidR="006C3EA2" w:rsidRDefault="00276373" w:rsidP="006C3E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C3EA2">
        <w:rPr>
          <w:sz w:val="24"/>
          <w:szCs w:val="24"/>
        </w:rPr>
        <w:t>Includ</w:t>
      </w:r>
      <w:r w:rsidR="006C3EA2" w:rsidRPr="006C3EA2">
        <w:rPr>
          <w:sz w:val="24"/>
          <w:szCs w:val="24"/>
        </w:rPr>
        <w:t xml:space="preserve">ing </w:t>
      </w:r>
      <w:r w:rsidRPr="006C3EA2">
        <w:rPr>
          <w:sz w:val="24"/>
          <w:szCs w:val="24"/>
        </w:rPr>
        <w:t>NCA/</w:t>
      </w:r>
      <w:r w:rsidR="006C3EA2" w:rsidRPr="006C3EA2">
        <w:rPr>
          <w:sz w:val="24"/>
          <w:szCs w:val="24"/>
        </w:rPr>
        <w:t>National Coalition to End Child Abuse Deaths pushed re</w:t>
      </w:r>
      <w:bookmarkStart w:id="0" w:name="_GoBack"/>
      <w:bookmarkEnd w:id="0"/>
      <w:r w:rsidR="006C3EA2" w:rsidRPr="006C3EA2">
        <w:rPr>
          <w:sz w:val="24"/>
          <w:szCs w:val="24"/>
        </w:rPr>
        <w:t xml:space="preserve">commendations: </w:t>
      </w:r>
    </w:p>
    <w:p w:rsid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76373" w:rsidRPr="006C3EA2">
        <w:rPr>
          <w:sz w:val="24"/>
          <w:szCs w:val="24"/>
        </w:rPr>
        <w:t>nnual report</w:t>
      </w:r>
      <w:r>
        <w:rPr>
          <w:sz w:val="24"/>
          <w:szCs w:val="24"/>
        </w:rPr>
        <w:t>s</w:t>
      </w:r>
      <w:r w:rsidR="00276373" w:rsidRPr="006C3EA2">
        <w:rPr>
          <w:sz w:val="24"/>
          <w:szCs w:val="24"/>
        </w:rPr>
        <w:t xml:space="preserve"> on fatalities from review panels with a uniform set of definitions; </w:t>
      </w:r>
    </w:p>
    <w:p w:rsid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76373" w:rsidRPr="006C3EA2">
        <w:rPr>
          <w:sz w:val="24"/>
          <w:szCs w:val="24"/>
        </w:rPr>
        <w:t xml:space="preserve">equiring multidisciplinary team collaboration; </w:t>
      </w:r>
    </w:p>
    <w:p w:rsid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276373" w:rsidRPr="006C3EA2">
        <w:rPr>
          <w:sz w:val="24"/>
          <w:szCs w:val="24"/>
        </w:rPr>
        <w:t>isclosure of confidential information to state</w:t>
      </w:r>
      <w:r>
        <w:rPr>
          <w:sz w:val="24"/>
          <w:szCs w:val="24"/>
        </w:rPr>
        <w:t xml:space="preserve"> agents to ensure child safety;</w:t>
      </w:r>
    </w:p>
    <w:p w:rsid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276373" w:rsidRPr="006C3EA2">
        <w:rPr>
          <w:sz w:val="24"/>
          <w:szCs w:val="24"/>
        </w:rPr>
        <w:t xml:space="preserve">eefing up caseworker support and training; </w:t>
      </w:r>
    </w:p>
    <w:p w:rsidR="006C3EA2" w:rsidRDefault="00276373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C3EA2">
        <w:rPr>
          <w:sz w:val="24"/>
          <w:szCs w:val="24"/>
        </w:rPr>
        <w:t xml:space="preserve">Interstate Data Exchange System for CPS; </w:t>
      </w:r>
    </w:p>
    <w:p w:rsid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276373" w:rsidRPr="006C3EA2">
        <w:rPr>
          <w:sz w:val="24"/>
          <w:szCs w:val="24"/>
        </w:rPr>
        <w:t xml:space="preserve">trengthening disclosure and closing up exceptions allowed; </w:t>
      </w:r>
    </w:p>
    <w:p w:rsidR="00276373" w:rsidRPr="006C3EA2" w:rsidRDefault="006C3EA2" w:rsidP="006C3EA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76373" w:rsidRPr="006C3EA2">
        <w:rPr>
          <w:sz w:val="24"/>
          <w:szCs w:val="24"/>
        </w:rPr>
        <w:t>equiring states to disclose gaps between assurances and performance.</w:t>
      </w:r>
    </w:p>
    <w:p w:rsidR="006C3EA2" w:rsidRPr="006C3EA2" w:rsidRDefault="006C3EA2" w:rsidP="006C3EA2">
      <w:pPr>
        <w:spacing w:after="0"/>
        <w:ind w:left="360"/>
        <w:rPr>
          <w:sz w:val="24"/>
          <w:szCs w:val="24"/>
        </w:rPr>
      </w:pPr>
    </w:p>
    <w:p w:rsidR="00185DCE" w:rsidRPr="00185DCE" w:rsidRDefault="00276373" w:rsidP="001C75F2">
      <w:pPr>
        <w:pStyle w:val="ListParagraph"/>
        <w:numPr>
          <w:ilvl w:val="0"/>
          <w:numId w:val="2"/>
        </w:numPr>
        <w:spacing w:after="0"/>
      </w:pPr>
      <w:r w:rsidRPr="00A41496">
        <w:rPr>
          <w:sz w:val="24"/>
          <w:szCs w:val="24"/>
        </w:rPr>
        <w:t>NCA has also worked closely with Sen. Cornyn on language that he would like to see added to the Senate version of CAPTA that would fund Jenna’s Law/Erin’s Law</w:t>
      </w:r>
      <w:r w:rsidR="006C3EA2" w:rsidRPr="00A41496">
        <w:rPr>
          <w:sz w:val="24"/>
          <w:szCs w:val="24"/>
        </w:rPr>
        <w:t>/child sexual abuse prevention education in the schools.</w:t>
      </w:r>
      <w:r w:rsidR="00A41496" w:rsidRPr="00A41496">
        <w:rPr>
          <w:sz w:val="24"/>
          <w:szCs w:val="24"/>
        </w:rPr>
        <w:t xml:space="preserve"> </w:t>
      </w:r>
    </w:p>
    <w:sectPr w:rsidR="00185DCE" w:rsidRPr="00185DCE" w:rsidSect="00A414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6914"/>
    <w:multiLevelType w:val="hybridMultilevel"/>
    <w:tmpl w:val="FB7E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3D2F"/>
    <w:multiLevelType w:val="hybridMultilevel"/>
    <w:tmpl w:val="81FE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E"/>
    <w:rsid w:val="00114383"/>
    <w:rsid w:val="00185DCE"/>
    <w:rsid w:val="00276373"/>
    <w:rsid w:val="00377331"/>
    <w:rsid w:val="00382CE6"/>
    <w:rsid w:val="00472D07"/>
    <w:rsid w:val="00485BAC"/>
    <w:rsid w:val="006C3EA2"/>
    <w:rsid w:val="00736DDA"/>
    <w:rsid w:val="00A41496"/>
    <w:rsid w:val="00DC0ABB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81218-4A0C-415B-B585-9FAACC3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369690DB.dotm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2</cp:revision>
  <dcterms:created xsi:type="dcterms:W3CDTF">2021-06-02T17:10:00Z</dcterms:created>
  <dcterms:modified xsi:type="dcterms:W3CDTF">2021-06-02T17:10:00Z</dcterms:modified>
</cp:coreProperties>
</file>